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center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</w:r>
      <w:bookmarkStart w:id="0" w:name="_Toc139856287"/>
      <w:bookmarkStart w:id="1" w:name="_Toc137554584"/>
      <w:bookmarkStart w:id="2" w:name="_Toc141696704"/>
      <w:bookmarkStart w:id="3" w:name="_Toc139856287"/>
      <w:bookmarkStart w:id="4" w:name="_Toc137554584"/>
      <w:bookmarkStart w:id="5" w:name="_Toc141696704"/>
      <w:bookmarkEnd w:id="3"/>
      <w:bookmarkEnd w:id="4"/>
      <w:bookmarkEnd w:id="5"/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lef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left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  <w:t>Технические требования</w:t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highlight w:val="white"/>
        </w:rPr>
      </w:pPr>
      <w:r>
        <w:rPr>
          <w:rFonts w:eastAsia="Calibri"/>
          <w:b/>
          <w:sz w:val="24"/>
          <w:szCs w:val="24"/>
          <w:highlight w:val="white"/>
        </w:rPr>
      </w:r>
    </w:p>
    <w:p>
      <w:pPr>
        <w:pStyle w:val="Normal"/>
        <w:keepNext w:val="true"/>
        <w:keepLines/>
        <w:spacing w:lineRule="auto" w:line="360"/>
        <w:jc w:val="center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ОКПД2 4</w:t>
      </w:r>
      <w:r>
        <w:rPr>
          <w:sz w:val="22"/>
          <w:szCs w:val="22"/>
          <w:lang w:eastAsia="en-US"/>
        </w:rPr>
        <w:t>1.20.40</w:t>
      </w:r>
      <w:r>
        <w:rPr>
          <w:sz w:val="22"/>
          <w:szCs w:val="22"/>
          <w:lang w:eastAsia="en-US"/>
        </w:rPr>
        <w:t xml:space="preserve"> Выполнение работ по ремонту производственных зданий и сооружений</w:t>
      </w:r>
    </w:p>
    <w:p>
      <w:pPr>
        <w:pStyle w:val="Normal"/>
        <w:keepNext w:val="true"/>
        <w:keepLines/>
        <w:spacing w:lineRule="auto" w:line="360"/>
        <w:jc w:val="center"/>
        <w:rPr>
          <w:rFonts w:eastAsia="Calibri"/>
          <w:sz w:val="24"/>
          <w:szCs w:val="24"/>
        </w:rPr>
      </w:pPr>
      <w:r>
        <w:rPr>
          <w:sz w:val="22"/>
          <w:szCs w:val="22"/>
          <w:lang w:eastAsia="en-US"/>
        </w:rPr>
        <w:t>Комсомольской ТЭЦ-1, Комсомольской ТЭЦ-2, г. Комсомольск-на-Амуре</w:t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spacing w:lineRule="atLeast" w:line="57" w:before="0" w:after="0"/>
        <w:jc w:val="center"/>
        <w:rPr>
          <w:sz w:val="24"/>
          <w:szCs w:val="24"/>
        </w:rPr>
      </w:pPr>
      <w:r>
        <w:rPr>
          <w:rFonts w:eastAsia="Calibri"/>
          <w:sz w:val="24"/>
          <w:szCs w:val="24"/>
        </w:rPr>
        <w:t>ЛОТ №</w:t>
      </w:r>
      <w:r>
        <w:rPr>
          <w:rFonts w:eastAsia="Times New Roman" w:cs="Times New Roman"/>
          <w:color w:val="000000"/>
          <w:sz w:val="24"/>
          <w:szCs w:val="24"/>
        </w:rPr>
        <w:t>11029013-РЕМ ПРОД-2026-ДГК-КТЭЦ2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color w:val="000000"/>
          <w:sz w:val="24"/>
          <w:szCs w:val="24"/>
          <w:highlight w:val="white"/>
        </w:rPr>
      </w:pPr>
      <w:r>
        <w:rPr>
          <w:rFonts w:eastAsia="Calibri"/>
          <w:b/>
          <w:i/>
          <w:color w:val="000000"/>
          <w:sz w:val="24"/>
          <w:szCs w:val="24"/>
          <w:highlight w:val="white"/>
        </w:rPr>
      </w:r>
    </w:p>
    <w:p>
      <w:pPr>
        <w:pStyle w:val="Normal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br w:type="page"/>
      </w:r>
    </w:p>
    <w:p>
      <w:pPr>
        <w:pStyle w:val="Normal"/>
        <w:jc w:val="center"/>
        <w:rPr>
          <w:b/>
          <w:highlight w:val="white"/>
        </w:rPr>
      </w:pPr>
      <w:r>
        <w:rPr>
          <w:b/>
          <w:highlight w:val="white"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9"/>
              <w:tab w:val="left" w:pos="567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rPr>
              <w:webHidden/>
              <w:rStyle w:val="Style16"/>
              <w:highlight w:val="white"/>
            </w:rPr>
            <w:instrText xml:space="preserve"> TOC \z \o "1-4" \u \h</w:instrText>
          </w:r>
          <w:r>
            <w:rPr>
              <w:webHidden/>
              <w:rStyle w:val="Style16"/>
              <w:highlight w:val="white"/>
            </w:rPr>
            <w:fldChar w:fldCharType="separate"/>
          </w:r>
          <w:hyperlink w:anchor="_Toc139017618" w:tgtFrame="#_Toc139017618">
            <w:r>
              <w:rPr>
                <w:webHidden/>
                <w:rStyle w:val="Style16"/>
                <w:highlight w:val="white"/>
              </w:rPr>
              <w:t>1.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6"/>
                <w:highlight w:val="white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_Toc139017618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39017619" w:tgtFrame="#_Toc139017619">
            <w:r>
              <w:rPr>
                <w:webHidden/>
                <w:rStyle w:val="Style16"/>
                <w:b/>
                <w:iCs/>
                <w:highlight w:val="white"/>
              </w:rPr>
              <w:t>1.1.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6"/>
                <w:highlight w:val="white"/>
              </w:rPr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_Toc139017619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39017620" w:tgtFrame="#_Toc139017620">
            <w:r>
              <w:rPr>
                <w:webHidden/>
                <w:rStyle w:val="Style16"/>
                <w:b/>
                <w:iCs/>
                <w:highlight w:val="white"/>
              </w:rPr>
              <w:t>1.2.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6"/>
                <w:highlight w:val="white"/>
              </w:rPr>
              <w:t>Наименование закупаемой продукции.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39017621" w:tgtFrame="#_Toc139017621">
            <w:r>
              <w:rPr>
                <w:webHidden/>
                <w:rStyle w:val="Style16"/>
                <w:b/>
                <w:iCs/>
                <w:highlight w:val="white"/>
              </w:rPr>
              <w:t>1.3.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6"/>
                <w:highlight w:val="white"/>
              </w:rPr>
              <w:t>Цель использования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39017623" w:tgtFrame="#_Toc139017623">
            <w:r>
              <w:rPr>
                <w:webHidden/>
                <w:rStyle w:val="Style16"/>
                <w:highlight w:val="white"/>
              </w:rPr>
              <w:t>Таблица 1. Перечень объектов заказчика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39017624" w:tgtFrame="#_Toc139017624">
            <w:r>
              <w:rPr>
                <w:webHidden/>
                <w:rStyle w:val="Style16"/>
                <w:b/>
                <w:iCs/>
                <w:highlight w:val="white"/>
              </w:rPr>
              <w:t>1.4.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6"/>
                <w:highlight w:val="white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39017625" w:tgtFrame="#_Toc139017625">
            <w:r>
              <w:rPr>
                <w:webHidden/>
                <w:rStyle w:val="Style16"/>
                <w:highlight w:val="white"/>
              </w:rPr>
              <w:t>1.4.1 Заказчик предоставит подрядчику: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left" w:pos="567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39017626" w:tgtFrame="#_Toc139017626">
            <w:r>
              <w:rPr>
                <w:webHidden/>
                <w:rStyle w:val="Style16"/>
                <w:highlight w:val="white"/>
              </w:rPr>
              <w:t>2.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6"/>
                <w:highlight w:val="white"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39017627" w:tgtFrame="#_Toc139017627">
            <w:r>
              <w:rPr>
                <w:webHidden/>
                <w:rStyle w:val="Style16"/>
                <w:b/>
                <w:iCs/>
                <w:highlight w:val="white"/>
              </w:rPr>
              <w:t>2.1.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6"/>
                <w:highlight w:val="white"/>
              </w:rPr>
              <w:t>Требования по объемам и срокам выполнения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39017628" w:tgtFrame="#_Toc139017628">
            <w:r>
              <w:rPr>
                <w:webHidden/>
                <w:rStyle w:val="Style16"/>
                <w:b/>
                <w:highlight w:val="white"/>
              </w:rPr>
              <w:t>2.1.1.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6"/>
                <w:highlight w:val="white"/>
              </w:rPr>
              <w:t>Требования к видам и объемам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39017629" w:tgtFrame="#_Toc139017629">
            <w:r>
              <w:rPr>
                <w:webHidden/>
                <w:rStyle w:val="Style16"/>
                <w:highlight w:val="white"/>
              </w:rPr>
              <w:t>Таблица 2. Перечень и объем выполняемых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_Toc139017629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39017630" w:tgtFrame="#_Toc139017630">
            <w:r>
              <w:rPr>
                <w:webHidden/>
                <w:rStyle w:val="Style16"/>
                <w:b/>
                <w:highlight w:val="white"/>
              </w:rPr>
              <w:t>2.1.2.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6"/>
                <w:highlight w:val="white"/>
              </w:rPr>
              <w:t>Требования к срокам выполнения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39017631" w:tgtFrame="#_Toc139017631">
            <w:r>
              <w:rPr>
                <w:webHidden/>
                <w:rStyle w:val="Style16"/>
                <w:highlight w:val="white"/>
              </w:rPr>
              <w:t>Таблица 3. Требования по срокам выполнения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9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39017632" w:tgtFrame="#_Toc139017632">
            <w:r>
              <w:rPr>
                <w:webHidden/>
                <w:rStyle w:val="Style16"/>
                <w:b/>
                <w:iCs/>
                <w:highlight w:val="white"/>
              </w:rPr>
              <w:t>2.2.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6"/>
                <w:highlight w:val="white"/>
              </w:rPr>
              <w:t>Требования к качеству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39017633" w:tgtFrame="#_Toc139017633">
            <w:r>
              <w:rPr>
                <w:webHidden/>
                <w:rStyle w:val="Style16"/>
                <w:highlight w:val="white"/>
              </w:rPr>
              <w:t>Таблица 4. Требования к качеству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39017634" w:tgtFrame="#_Toc139017634">
            <w:r>
              <w:rPr>
                <w:webHidden/>
                <w:rStyle w:val="Style16"/>
                <w:rFonts w:eastAsia="Calibri"/>
                <w:i/>
                <w:highlight w:val="white"/>
              </w:rPr>
              <w:t>Требования к безопасности выполняемых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39017635" w:tgtFrame="#_Toc139017635">
            <w:r>
              <w:rPr>
                <w:webHidden/>
                <w:rStyle w:val="Style16"/>
                <w:rFonts w:eastAsia="Calibri"/>
                <w:i/>
                <w:highlight w:val="white"/>
              </w:rPr>
              <w:t>Соблюдение требований к пожарной безопасности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39017636" w:tgtFrame="#_Toc139017636">
            <w:r>
              <w:rPr>
                <w:webHidden/>
                <w:rStyle w:val="Style16"/>
                <w:rFonts w:eastAsia="Calibri"/>
                <w:i/>
                <w:highlight w:val="white"/>
              </w:rPr>
              <w:t>Соблюдение требований к охране окружающей среды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39017637" w:tgtFrame="#_Toc139017637">
            <w:r>
              <w:rPr>
                <w:webHidden/>
                <w:rStyle w:val="Style16"/>
                <w:rFonts w:eastAsia="Calibri"/>
                <w:i/>
                <w:highlight w:val="white"/>
              </w:rPr>
              <w:t>Соблюдение требований охраны труда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39017638" w:tgtFrame="#_Toc139017638">
            <w:r>
              <w:rPr>
                <w:webHidden/>
                <w:rStyle w:val="Style16"/>
                <w:rFonts w:eastAsia="Calibri"/>
                <w:i/>
                <w:highlight w:val="white"/>
              </w:rPr>
              <w:t>Общие требования к оформлению документации</w:t>
            </w:r>
            <w:r>
              <w:rPr>
                <w:rStyle w:val="Style16"/>
                <w:rFonts w:eastAsia="Calibri"/>
                <w:i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left" w:pos="567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39017639" w:tgtFrame="#_Toc139017639">
            <w:r>
              <w:rPr>
                <w:webHidden/>
                <w:rStyle w:val="Style16"/>
                <w:highlight w:val="white"/>
              </w:rPr>
              <w:t>3.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6"/>
                <w:highlight w:val="white"/>
              </w:rPr>
              <w:t>Требования к документации по ценообразованию на этапе закупки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_Toc139017639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left" w:pos="567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39017642" w:tgtFrame="#_Toc139017642">
            <w:r>
              <w:rPr>
                <w:webHidden/>
                <w:rStyle w:val="Style16"/>
                <w:highlight w:val="white"/>
              </w:rPr>
              <w:t>4.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6"/>
                <w:highlight w:val="white"/>
              </w:rPr>
              <w:t>Требования к документации по ценообразованию на этапе заключения (исполнения) договора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_Toc139017642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9"/>
              <w:tab w:val="left" w:pos="567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39017650" w:tgtFrame="#_Toc139017650">
            <w:r>
              <w:rPr>
                <w:webHidden/>
                <w:rStyle w:val="Style16"/>
                <w:highlight w:val="white"/>
              </w:rPr>
              <w:t>5.</w:t>
            </w:r>
            <w:r>
              <w:rPr>
                <w:rStyle w:val="Style16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6"/>
                <w:highlight w:val="white"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_Toc139017650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6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6"/>
            </w:rPr>
            <w:fldChar w:fldCharType="end"/>
          </w:r>
        </w:p>
      </w:sdtContent>
    </w:sdt>
    <w:p>
      <w:pPr>
        <w:pStyle w:val="Heading2"/>
        <w:numPr>
          <w:ilvl w:val="0"/>
        </w:numPr>
        <w:ind w:left="0" w:hanging="0"/>
        <w:rPr>
          <w:highlight w:val="white"/>
        </w:rPr>
      </w:pPr>
      <w:r>
        <w:rPr>
          <w:highlight w:val="white"/>
        </w:rPr>
      </w:r>
      <w:r>
        <w:br w:type="page"/>
      </w:r>
    </w:p>
    <w:p>
      <w:pPr>
        <w:pStyle w:val="Heading1"/>
        <w:numPr>
          <w:ilvl w:val="0"/>
          <w:numId w:val="1"/>
        </w:numPr>
        <w:rPr>
          <w:caps/>
          <w:highlight w:val="white"/>
        </w:rPr>
      </w:pPr>
      <w:bookmarkStart w:id="6" w:name="_Toc51339692"/>
      <w:bookmarkStart w:id="7" w:name="_Toc129956730"/>
      <w:bookmarkStart w:id="8" w:name="_Toc139017618"/>
      <w:r>
        <w:rPr>
          <w:highlight w:val="white"/>
        </w:rPr>
        <w:t>Общие сведения</w:t>
      </w:r>
      <w:bookmarkEnd w:id="6"/>
      <w:bookmarkEnd w:id="7"/>
      <w:bookmarkEnd w:id="8"/>
    </w:p>
    <w:p>
      <w:pPr>
        <w:pStyle w:val="Heading4"/>
        <w:numPr>
          <w:ilvl w:val="1"/>
          <w:numId w:val="29"/>
        </w:numPr>
        <w:rPr>
          <w:rStyle w:val="Style11"/>
          <w:b w:val="false"/>
          <w:i w:val="false"/>
          <w:i w:val="false"/>
          <w:highlight w:val="white"/>
          <w:shd w:fill="auto" w:val="clear"/>
        </w:rPr>
      </w:pPr>
      <w:bookmarkStart w:id="9" w:name="_Toc46743505"/>
      <w:bookmarkStart w:id="10" w:name="_Toc129956731"/>
      <w:bookmarkStart w:id="11" w:name="_Toc139017619"/>
      <w:r>
        <w:rPr>
          <w:highlight w:val="white"/>
        </w:rPr>
        <w:t>Обозначения и сокращения</w:t>
      </w:r>
      <w:bookmarkEnd w:id="9"/>
      <w:bookmarkEnd w:id="10"/>
      <w:bookmarkEnd w:id="11"/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АО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Акционерное общество;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Style w:val="Style11"/>
                <w:b w:val="false"/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Style w:val="Style11"/>
                <w:b w:val="false"/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Государственный стандарт;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ДГК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Дальневосточная генерирующая компания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ИТР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Инженерно-технические работники;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Style w:val="Style11"/>
                <w:b w:val="false"/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КС-2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Акт о приемке выполненных работ (форма № КС-2);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rStyle w:val="Style11"/>
                <w:b w:val="false"/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КС-3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Справка о стоимости выполненных работ и затрат (форма № КС-3);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НПБ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Нормы пожарной безопасности;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Нормативно-техническая документация;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ПК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Программный комплекс;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Проект производства работ;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Правила устройства электроустановок;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Руководящий документ;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РФ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Российская Федерация;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Строительные нормы и правила;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Свод правил;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Стандарт организации;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Технические требования;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ТЭЦ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Теплоэлектроцентраль;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ФЗ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Федеральный закон;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120" w:after="12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gsfx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Формат файла программы «Гранд-Смета»</w:t>
            </w:r>
          </w:p>
        </w:tc>
      </w:tr>
      <w:tr>
        <w:trPr>
          <w:trHeight w:val="1090" w:hRule="exact"/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0" w:after="120"/>
              <w:rPr>
                <w:rStyle w:val="Style11"/>
                <w:b w:val="false"/>
                <w:bCs/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pdf – portable document format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Формат файла электронного документа;</w:t>
            </w:r>
          </w:p>
        </w:tc>
      </w:tr>
    </w:tbl>
    <w:p>
      <w:pPr>
        <w:pStyle w:val="Normal"/>
        <w:keepNext w:val="true"/>
        <w:keepLines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br w:type="page"/>
      </w:r>
    </w:p>
    <w:p>
      <w:pPr>
        <w:pStyle w:val="Heading4"/>
        <w:numPr>
          <w:ilvl w:val="1"/>
          <w:numId w:val="30"/>
        </w:numPr>
        <w:spacing w:before="120" w:after="60"/>
        <w:contextualSpacing/>
        <w:jc w:val="left"/>
        <w:rPr>
          <w:highlight w:val="white"/>
        </w:rPr>
      </w:pPr>
      <w:bookmarkStart w:id="12" w:name="_Toc129956732"/>
      <w:bookmarkStart w:id="13" w:name="_Toc139017620"/>
      <w:r>
        <w:rPr>
          <w:highlight w:val="white"/>
        </w:rPr>
        <w:t>Наименование закупаемой продукции</w:t>
      </w:r>
      <w:r>
        <w:rPr/>
        <w:t>:</w:t>
      </w:r>
      <w:bookmarkEnd w:id="12"/>
      <w:bookmarkEnd w:id="13"/>
    </w:p>
    <w:p>
      <w:pPr>
        <w:pStyle w:val="Normal"/>
        <w:spacing w:lineRule="atLeast" w:line="57" w:before="0" w:after="0"/>
        <w:ind w:left="0" w:right="0" w:firstLine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>«</w:t>
      </w:r>
      <w:r>
        <w:rPr>
          <w:sz w:val="24"/>
          <w:szCs w:val="24"/>
          <w:lang w:eastAsia="en-US"/>
        </w:rPr>
        <w:t>ОКПД2 4</w:t>
      </w:r>
      <w:r>
        <w:rPr>
          <w:sz w:val="24"/>
          <w:szCs w:val="24"/>
          <w:lang w:eastAsia="en-US"/>
        </w:rPr>
        <w:t>1.20.40</w:t>
      </w:r>
      <w:r>
        <w:rPr>
          <w:sz w:val="24"/>
          <w:szCs w:val="24"/>
          <w:lang w:eastAsia="en-US"/>
        </w:rPr>
        <w:t xml:space="preserve"> Выполнение работ по ремонту производственных зданий и сооружений Комсомольской ТЭЦ-1, Комсомольской ТЭЦ-2, г. Комсомольск-на-Амуре</w:t>
      </w:r>
      <w:r>
        <w:rPr>
          <w:rFonts w:eastAsia="Calibri" w:cs="Times New Roman"/>
          <w:color w:val="000000" w:themeColor="text1"/>
          <w:sz w:val="24"/>
          <w:szCs w:val="24"/>
        </w:rPr>
        <w:t>»</w:t>
      </w:r>
      <w:r>
        <w:rPr>
          <w:i/>
          <w:sz w:val="24"/>
          <w:szCs w:val="24"/>
          <w:highlight w:val="white"/>
        </w:rPr>
        <w:t>.</w:t>
      </w:r>
    </w:p>
    <w:p>
      <w:pPr>
        <w:pStyle w:val="Heading4"/>
        <w:numPr>
          <w:ilvl w:val="1"/>
          <w:numId w:val="31"/>
        </w:numPr>
        <w:spacing w:before="120" w:after="60"/>
        <w:contextualSpacing/>
        <w:jc w:val="left"/>
        <w:rPr>
          <w:highlight w:val="white"/>
        </w:rPr>
      </w:pPr>
      <w:bookmarkStart w:id="14" w:name="_Toc139017621"/>
      <w:bookmarkStart w:id="15" w:name="_Toc129956733"/>
      <w:r>
        <w:rPr>
          <w:highlight w:val="white"/>
        </w:rPr>
        <w:t>Цель использования закупаемой продукции</w:t>
      </w:r>
      <w:bookmarkEnd w:id="14"/>
      <w:bookmarkEnd w:id="15"/>
      <w:r>
        <w:rPr/>
        <w:t>:</w:t>
      </w:r>
    </w:p>
    <w:p>
      <w:pPr>
        <w:pStyle w:val="Normal"/>
        <w:spacing w:lineRule="auto" w:line="240" w:before="0" w:after="0"/>
        <w:ind w:firstLine="709"/>
        <w:contextualSpacing/>
        <w:jc w:val="left"/>
        <w:rPr>
          <w:i w:val="false"/>
          <w:i w:val="false"/>
          <w:iCs w:val="false"/>
          <w:sz w:val="24"/>
          <w:szCs w:val="24"/>
          <w:highlight w:val="white"/>
        </w:rPr>
      </w:pPr>
      <w:r>
        <w:rPr>
          <w:rFonts w:eastAsia="Calibri"/>
          <w:i w:val="false"/>
          <w:iCs w:val="false"/>
          <w:sz w:val="24"/>
          <w:szCs w:val="24"/>
        </w:rPr>
        <w:t xml:space="preserve">Целью работы является обеспечение надёжной и безаварийной эксплуатации зданий и сооружений </w:t>
      </w:r>
      <w:r>
        <w:rPr>
          <w:sz w:val="24"/>
          <w:szCs w:val="24"/>
          <w:lang w:eastAsia="en-US"/>
        </w:rPr>
        <w:t>Комсомольской ТЭЦ-1, Комсомольской ТЭЦ-2</w:t>
      </w:r>
      <w:r>
        <w:rPr>
          <w:i w:val="false"/>
          <w:iCs w:val="false"/>
          <w:sz w:val="24"/>
          <w:szCs w:val="24"/>
        </w:rPr>
        <w:t>.</w:t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  <w:highlight w:val="none"/>
        </w:rPr>
      </w:pPr>
      <w:bookmarkStart w:id="16" w:name="_Toc129956735"/>
      <w:bookmarkStart w:id="17" w:name="_Toc139017623"/>
      <w:r>
        <w:rPr>
          <w:sz w:val="24"/>
          <w:szCs w:val="24"/>
          <w:highlight w:val="white"/>
        </w:rPr>
        <w:t>Таблица 1. Перечень объектов заказчика</w:t>
      </w:r>
      <w:bookmarkEnd w:id="16"/>
      <w:bookmarkEnd w:id="17"/>
      <w:r>
        <w:rPr>
          <w:sz w:val="24"/>
          <w:szCs w:val="24"/>
        </w:rPr>
        <w:t>:</w:t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  <w:highlight w:val="none"/>
        </w:rPr>
      </w:pPr>
      <w:r>
        <w:rPr>
          <w:sz w:val="24"/>
          <w:szCs w:val="24"/>
        </w:rPr>
      </w:r>
    </w:p>
    <w:tbl>
      <w:tblPr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7"/>
        <w:gridCol w:w="3684"/>
        <w:gridCol w:w="5525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№</w:t>
            </w:r>
          </w:p>
          <w:p>
            <w:pPr>
              <w:pStyle w:val="Normal"/>
              <w:widowControl w:val="false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п/п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Наименование объекта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Расположение объекта</w:t>
            </w:r>
            <w:r>
              <w:rPr>
                <w:sz w:val="22"/>
                <w:szCs w:val="22"/>
                <w:highlight w:val="white"/>
              </w:rPr>
              <w:br w:type="textWrapping" w:clear="all"/>
            </w:r>
            <w:r>
              <w:rPr>
                <w:i/>
                <w:iCs/>
                <w:sz w:val="20"/>
                <w:szCs w:val="20"/>
                <w:highlight w:val="white"/>
              </w:rPr>
              <w:t>(место производства работ)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>3</w:t>
            </w:r>
          </w:p>
        </w:tc>
      </w:tr>
      <w:tr>
        <w:trPr>
          <w:trHeight w:val="84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lang w:eastAsia="en-US"/>
              </w:rPr>
              <w:t>Склад топлива. Инв.№00000000000000007118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СП "Комсомольская ТЭЦ-2", 681000, Хабаровский край, г. Комсомольск-на-Амуре, Аллея Труда, 1/3.</w:t>
            </w:r>
          </w:p>
        </w:tc>
      </w:tr>
      <w:tr>
        <w:trPr>
          <w:trHeight w:val="84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Здание теплохолодного склада с навесом. Инв.№00000000000000006340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СП "Комсомольская ТЭЦ-2", 681000, Хабаровский край, г. Комсомольск-на-Амуре, Аллея Труда, 1/3.</w:t>
            </w:r>
          </w:p>
        </w:tc>
      </w:tr>
      <w:tr>
        <w:trPr>
          <w:trHeight w:val="84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Наружные теплосети в проходных каналах. Инв.№00000000000000006588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"Комсомольская ТЭЦ-1", 681000, Хабаровский край, г. Комсомольск-на-Амуре, ул. Вагонная, 8.</w:t>
            </w:r>
          </w:p>
        </w:tc>
      </w:tr>
      <w:tr>
        <w:trPr>
          <w:trHeight w:val="84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Здание очистных сооружений. Инв.№00000000000000006612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СП "Комсомольская ТЭЦ-2", 681000, Хабаровский край, г. Комсомольск-на-Амуре, Аллея Труда, 1/3.</w:t>
            </w:r>
          </w:p>
        </w:tc>
      </w:tr>
      <w:tr>
        <w:trPr>
          <w:trHeight w:val="84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Здание маслохозяйства c паровозным депо. Инв.№00000000000000006357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СП "Комсомольская ТЭЦ-2", 681000, Хабаровский край, г. Комсомольск-на-Амуре, Аллея Труда, 1/3.</w:t>
            </w:r>
          </w:p>
        </w:tc>
      </w:tr>
      <w:tr>
        <w:trPr>
          <w:trHeight w:val="84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Главный корпус / котельное отделение. Инв.№00000000000000007283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СП "Комсомольская ТЭЦ-2", 681000, Хабаровский край, г. Комсомольск-на-Амуре, Аллея Труда, 1/3.</w:t>
            </w:r>
          </w:p>
        </w:tc>
      </w:tr>
      <w:tr>
        <w:trPr>
          <w:trHeight w:val="84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Здание автогаража. Инв.№00000000000000006400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СП "Комсомольская ТЭЦ-2", 681000, Хабаровский край, г. Комсомольск-на-Амуре, Аллея Труда, 1/3.</w:t>
            </w:r>
          </w:p>
        </w:tc>
      </w:tr>
      <w:tr>
        <w:trPr>
          <w:trHeight w:val="84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Здание главного щита управления. Инв.№00000000000000006352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  <w:highlight w:val="white"/>
              </w:rPr>
              <w:t>СП "Комсомольская ТЭЦ-2", 681000, Хабаровский край, г. Комсомольск-на-Амуре, Аллея Труда, 1/3.</w:t>
            </w:r>
          </w:p>
        </w:tc>
      </w:tr>
      <w:tr>
        <w:trPr>
          <w:trHeight w:val="844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Здание дробильного корпуса. Инв. №00000000000000006305</w:t>
            </w:r>
          </w:p>
        </w:tc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2"/>
                <w:szCs w:val="22"/>
                <w:highlight w:val="white"/>
              </w:rPr>
              <w:t>СП "Комсомольская ТЭЦ-2", 681000, Хабаровский край, г. Комсомольск-на-Амуре, Аллея Труда, 1/3.</w:t>
            </w:r>
          </w:p>
        </w:tc>
      </w:tr>
    </w:tbl>
    <w:p>
      <w:pPr>
        <w:pStyle w:val="Heading4"/>
        <w:numPr>
          <w:ilvl w:val="1"/>
          <w:numId w:val="32"/>
        </w:numPr>
        <w:spacing w:before="120" w:after="60"/>
        <w:contextualSpacing/>
        <w:jc w:val="both"/>
        <w:rPr>
          <w:rStyle w:val="Style11"/>
          <w:b w:val="false"/>
          <w:highlight w:val="white"/>
        </w:rPr>
      </w:pPr>
      <w:bookmarkStart w:id="18" w:name="_Toc139017624"/>
      <w:bookmarkStart w:id="19" w:name="_Toc129956736"/>
      <w:r>
        <w:rPr>
          <w:highlight w:val="white"/>
        </w:rPr>
        <w:t xml:space="preserve">Информация в отношении исполнения договора, </w:t>
      </w:r>
      <w:bookmarkStart w:id="20" w:name="_Hlk46492347"/>
      <w:r>
        <w:rPr>
          <w:highlight w:val="white"/>
        </w:rPr>
        <w:t xml:space="preserve">которая должна быть учтена при подготовке заявки </w:t>
      </w:r>
      <w:bookmarkEnd w:id="20"/>
      <w:r>
        <w:rPr>
          <w:highlight w:val="white"/>
        </w:rPr>
        <w:t>(в том числе перечень ресурсов, услуг и документов, предоставляемых заказчиком на этапе исполнения договора)</w:t>
      </w:r>
      <w:bookmarkEnd w:id="19"/>
      <w:r>
        <w:rPr/>
        <w:t>:</w:t>
      </w:r>
      <w:bookmarkStart w:id="21" w:name="_Hlk48209761"/>
      <w:bookmarkEnd w:id="18"/>
    </w:p>
    <w:p>
      <w:pPr>
        <w:pStyle w:val="Heading3"/>
        <w:numPr>
          <w:ilvl w:val="0"/>
          <w:numId w:val="0"/>
        </w:numPr>
        <w:spacing w:before="120" w:after="60"/>
        <w:ind w:left="0" w:hanging="0"/>
        <w:contextualSpacing/>
        <w:jc w:val="both"/>
        <w:rPr>
          <w:highlight w:val="white"/>
        </w:rPr>
      </w:pPr>
      <w:bookmarkStart w:id="22" w:name="_Toc129956737"/>
      <w:bookmarkStart w:id="23" w:name="_Toc139017625"/>
      <w:r>
        <w:rPr>
          <w:highlight w:val="white"/>
        </w:rPr>
        <w:t>1.4.1 Заказчик предоставит подрядчику:</w:t>
      </w:r>
      <w:bookmarkEnd w:id="22"/>
      <w:bookmarkEnd w:id="23"/>
    </w:p>
    <w:p>
      <w:pPr>
        <w:pStyle w:val="ListParagraph"/>
        <w:numPr>
          <w:ilvl w:val="0"/>
          <w:numId w:val="6"/>
        </w:numPr>
        <w:jc w:val="both"/>
        <w:rPr>
          <w:highlight w:val="white"/>
        </w:rPr>
      </w:pPr>
      <w:r>
        <w:rPr>
          <w:highlight w:val="white"/>
        </w:rPr>
        <w:t>Электроэнергию, при получении технических условий на временное присоединение (на период выполнения ремонтных работ подрядной организацией);</w:t>
      </w:r>
    </w:p>
    <w:p>
      <w:pPr>
        <w:pStyle w:val="ListParagraph"/>
        <w:numPr>
          <w:ilvl w:val="0"/>
          <w:numId w:val="6"/>
        </w:numPr>
        <w:jc w:val="both"/>
        <w:rPr>
          <w:highlight w:val="white"/>
        </w:rPr>
      </w:pPr>
      <w:r>
        <w:rPr/>
        <w:t xml:space="preserve">Водоснабжение </w:t>
      </w:r>
      <w:r>
        <w:rPr>
          <w:highlight w:val="white"/>
        </w:rPr>
        <w:t>(на период выполнения ремонтных работ подрядной организацией)</w:t>
      </w:r>
      <w:r>
        <w:rPr/>
        <w:t>.</w:t>
      </w:r>
    </w:p>
    <w:p>
      <w:pPr>
        <w:pStyle w:val="Heading1"/>
        <w:numPr>
          <w:ilvl w:val="0"/>
          <w:numId w:val="1"/>
        </w:numPr>
        <w:ind w:left="0" w:hanging="0"/>
        <w:jc w:val="center"/>
        <w:rPr>
          <w:caps/>
          <w:highlight w:val="white"/>
        </w:rPr>
      </w:pPr>
      <w:bookmarkStart w:id="24" w:name="_Toc129956738"/>
      <w:bookmarkStart w:id="25" w:name="_Toc139017626"/>
      <w:bookmarkStart w:id="26" w:name="_Toc51339693"/>
      <w:bookmarkEnd w:id="21"/>
      <w:r>
        <w:rPr>
          <w:sz w:val="24"/>
          <w:szCs w:val="24"/>
          <w:highlight w:val="white"/>
        </w:rPr>
        <w:t>Требования к продукции</w:t>
      </w:r>
      <w:bookmarkEnd w:id="24"/>
      <w:bookmarkEnd w:id="25"/>
      <w:bookmarkEnd w:id="26"/>
    </w:p>
    <w:p>
      <w:pPr>
        <w:pStyle w:val="Heading4"/>
        <w:numPr>
          <w:ilvl w:val="1"/>
          <w:numId w:val="33"/>
        </w:numPr>
        <w:rPr>
          <w:highlight w:val="white"/>
        </w:rPr>
      </w:pPr>
      <w:bookmarkStart w:id="27" w:name="_Toc129956739"/>
      <w:bookmarkStart w:id="28" w:name="_Toc139017627"/>
      <w:r>
        <w:rPr>
          <w:highlight w:val="white"/>
        </w:rPr>
        <w:t>Требования по объемам и срокам выполнения работ</w:t>
      </w:r>
      <w:bookmarkEnd w:id="27"/>
      <w:bookmarkEnd w:id="28"/>
      <w:r>
        <w:rPr/>
        <w:t>:</w:t>
      </w:r>
    </w:p>
    <w:p>
      <w:pPr>
        <w:pStyle w:val="Heading3"/>
        <w:numPr>
          <w:ilvl w:val="2"/>
          <w:numId w:val="34"/>
        </w:numPr>
        <w:ind w:left="425" w:hanging="425"/>
        <w:rPr>
          <w:highlight w:val="white"/>
        </w:rPr>
      </w:pPr>
      <w:bookmarkStart w:id="29" w:name="_Toc129956740"/>
      <w:bookmarkStart w:id="30" w:name="_Toc139017628"/>
      <w:r>
        <w:rPr>
          <w:highlight w:val="white"/>
        </w:rPr>
        <w:t>Требования к видам и объемам работ</w:t>
      </w:r>
      <w:bookmarkEnd w:id="29"/>
      <w:bookmarkEnd w:id="30"/>
      <w:r>
        <w:rPr/>
        <w:t>:</w:t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  <w:highlight w:val="none"/>
        </w:rPr>
      </w:pPr>
      <w:bookmarkStart w:id="31" w:name="_Toc129956741"/>
      <w:bookmarkStart w:id="32" w:name="_Toc139017629"/>
      <w:bookmarkStart w:id="33" w:name="_Toc51339695"/>
      <w:r>
        <w:rPr>
          <w:sz w:val="24"/>
          <w:szCs w:val="24"/>
          <w:highlight w:val="white"/>
        </w:rPr>
        <w:t xml:space="preserve">Таблица 2. Перечень и объем </w:t>
      </w:r>
      <w:bookmarkEnd w:id="33"/>
      <w:r>
        <w:rPr>
          <w:sz w:val="24"/>
          <w:szCs w:val="24"/>
          <w:highlight w:val="white"/>
        </w:rPr>
        <w:t>выполняемых работ</w:t>
      </w:r>
      <w:bookmarkEnd w:id="31"/>
      <w:bookmarkEnd w:id="32"/>
      <w:r>
        <w:rPr>
          <w:sz w:val="24"/>
          <w:szCs w:val="24"/>
        </w:rPr>
        <w:t>:</w:t>
      </w:r>
    </w:p>
    <w:p>
      <w:pPr>
        <w:pStyle w:val="Heading1"/>
        <w:numPr>
          <w:ilvl w:val="0"/>
          <w:numId w:val="0"/>
        </w:numPr>
        <w:ind w:left="0" w:hanging="0"/>
        <w:rPr>
          <w:sz w:val="16"/>
          <w:szCs w:val="16"/>
          <w:highlight w:val="none"/>
        </w:rPr>
      </w:pPr>
      <w:r>
        <w:rPr>
          <w:sz w:val="16"/>
          <w:szCs w:val="16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0"/>
        <w:gridCol w:w="4066"/>
        <w:gridCol w:w="1122"/>
        <w:gridCol w:w="4172"/>
      </w:tblGrid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п/п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Наименование работ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ind w:left="-283" w:right="-187" w:hanging="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Единица измерения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Количество</w:t>
            </w:r>
          </w:p>
        </w:tc>
      </w:tr>
      <w:tr>
        <w:trPr/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1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3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4</w:t>
            </w:r>
          </w:p>
        </w:tc>
      </w:tr>
      <w:tr>
        <w:trPr>
          <w:trHeight w:val="749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Ремонт сети водоотведения </w:t>
            </w:r>
            <w:r>
              <w:rPr>
                <w:sz w:val="22"/>
                <w:szCs w:val="22"/>
                <w:lang w:eastAsia="en-US"/>
              </w:rPr>
              <w:t>склада топлива.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у.е.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в соответствии с ведомостью объемов работ (Приложение №2 к ТТ).</w:t>
            </w:r>
          </w:p>
        </w:tc>
      </w:tr>
      <w:tr>
        <w:trPr>
          <w:trHeight w:val="749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Ремонт кровли здания теплохолодного склада с навесом.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у.е.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в соответствии с ведомостью объемов работ (Приложение №2 к ТТ).</w:t>
            </w:r>
          </w:p>
        </w:tc>
      </w:tr>
      <w:tr>
        <w:trPr>
          <w:trHeight w:val="749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Ремонт тепловой камеры наружных теплосетей в проходных каналах.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у.е.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в соответствии с ведомостью объемов работ (Приложение №2 к ТТ).</w:t>
            </w:r>
          </w:p>
        </w:tc>
      </w:tr>
      <w:tr>
        <w:trPr>
          <w:trHeight w:val="749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Ремонт кровли здания очистных сооружений.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у.е.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в соответствии с ведомостью объемов работ (Приложение №2 к ТТ).</w:t>
            </w:r>
          </w:p>
        </w:tc>
      </w:tr>
      <w:tr>
        <w:trPr>
          <w:trHeight w:val="749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Ремонт кровли здания паровозного депо.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у.е.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в соответствии с ведомостью объемов работ (Приложение №2 к ТТ).</w:t>
            </w:r>
          </w:p>
        </w:tc>
      </w:tr>
      <w:tr>
        <w:trPr>
          <w:trHeight w:val="749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Ремонт сети водоотведения котельного отделения.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у.е.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в соответствии с ведомостью объемов работ (Приложение №2 к ТТ).</w:t>
            </w:r>
          </w:p>
        </w:tc>
      </w:tr>
      <w:tr>
        <w:trPr>
          <w:trHeight w:val="749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Ремонт стены здания автогаража.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у.е.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в соответствии с ведомостью объемов работ (Приложение №2 к ТТ).</w:t>
            </w:r>
          </w:p>
        </w:tc>
      </w:tr>
      <w:tr>
        <w:trPr>
          <w:trHeight w:val="749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Ремонт раздевалки с душевой на отм.+22,4 в котельном отделении главного корпуса.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у.е.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в соответствии с ведомостью объемов работ (Приложение №2 к ТТ).</w:t>
            </w:r>
          </w:p>
        </w:tc>
      </w:tr>
      <w:tr>
        <w:trPr>
          <w:trHeight w:val="749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Установка окон ПВХ в здании главного щита управления.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у.е.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в соответствии с ведомостью объемов работ (Приложение №2 к ТТ).</w:t>
            </w:r>
          </w:p>
        </w:tc>
      </w:tr>
      <w:tr>
        <w:trPr>
          <w:trHeight w:val="749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Ремонт санузла в здании дробильного корпуса.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у.е.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в соответствии с ведомостью объемов работ (Приложение №2 к ТТ).</w:t>
            </w:r>
          </w:p>
        </w:tc>
      </w:tr>
      <w:tr>
        <w:trPr>
          <w:trHeight w:val="749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Установка дверей в здании маслохозяйства.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у.е.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в соответствии с ведомостью объемов работ (Приложение №2 к ТТ).</w:t>
            </w:r>
          </w:p>
        </w:tc>
      </w:tr>
    </w:tbl>
    <w:p>
      <w:pPr>
        <w:pStyle w:val="Heading3"/>
        <w:numPr>
          <w:ilvl w:val="2"/>
          <w:numId w:val="35"/>
        </w:numPr>
        <w:ind w:left="425" w:hanging="425"/>
        <w:rPr>
          <w:highlight w:val="white"/>
        </w:rPr>
      </w:pPr>
      <w:bookmarkStart w:id="34" w:name="_Toc129956742"/>
      <w:bookmarkStart w:id="35" w:name="_Toc139017630"/>
      <w:bookmarkStart w:id="36" w:name="_Toc51339696"/>
      <w:r>
        <w:rPr>
          <w:highlight w:val="white"/>
        </w:rPr>
        <w:t xml:space="preserve">Требования </w:t>
      </w:r>
      <w:bookmarkEnd w:id="36"/>
      <w:r>
        <w:rPr>
          <w:highlight w:val="white"/>
        </w:rPr>
        <w:t>к срокам выполнения работ</w:t>
      </w:r>
      <w:bookmarkEnd w:id="34"/>
      <w:bookmarkEnd w:id="35"/>
      <w:r>
        <w:rPr/>
        <w:t>:</w:t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  <w:highlight w:val="none"/>
          <w:shd w:fill="auto" w:val="clear"/>
        </w:rPr>
      </w:pPr>
      <w:bookmarkStart w:id="37" w:name="_Toc139017631"/>
      <w:bookmarkStart w:id="38" w:name="_Toc129956743"/>
      <w:bookmarkStart w:id="39" w:name="_Toc51339697"/>
      <w:bookmarkStart w:id="40" w:name="_Toc50125127"/>
      <w:bookmarkStart w:id="41" w:name="_Toc50125126"/>
      <w:bookmarkEnd w:id="41"/>
      <w:r>
        <w:rPr>
          <w:sz w:val="24"/>
          <w:szCs w:val="24"/>
          <w:highlight w:val="white"/>
        </w:rPr>
        <w:t xml:space="preserve">Таблица 3. </w:t>
      </w:r>
      <w:bookmarkStart w:id="42" w:name="_Hlk50465284"/>
      <w:r>
        <w:rPr>
          <w:sz w:val="24"/>
          <w:szCs w:val="24"/>
          <w:highlight w:val="white"/>
        </w:rPr>
        <w:t xml:space="preserve">Требования </w:t>
      </w:r>
      <w:bookmarkEnd w:id="39"/>
      <w:bookmarkEnd w:id="40"/>
      <w:bookmarkEnd w:id="42"/>
      <w:r>
        <w:rPr>
          <w:sz w:val="24"/>
          <w:szCs w:val="24"/>
          <w:highlight w:val="white"/>
        </w:rPr>
        <w:t>по срокам выполнения работ</w:t>
      </w:r>
      <w:bookmarkEnd w:id="37"/>
      <w:bookmarkEnd w:id="38"/>
      <w:r>
        <w:rPr>
          <w:sz w:val="24"/>
          <w:szCs w:val="24"/>
        </w:rPr>
        <w:t>:</w:t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  <w:highlight w:val="none"/>
        </w:rPr>
      </w:pPr>
      <w:r>
        <w:rPr>
          <w:sz w:val="24"/>
          <w:szCs w:val="24"/>
        </w:rPr>
      </w:r>
    </w:p>
    <w:tbl>
      <w:tblPr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7"/>
        <w:gridCol w:w="3684"/>
        <w:gridCol w:w="2693"/>
        <w:gridCol w:w="2802"/>
      </w:tblGrid>
      <w:tr>
        <w:trPr>
          <w:trHeight w:val="53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№ </w:t>
            </w:r>
            <w:r>
              <w:rPr>
                <w:sz w:val="22"/>
                <w:szCs w:val="22"/>
                <w:highlight w:val="white"/>
              </w:rPr>
              <w:t>п/п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Наименование работ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Cs w:val="22"/>
                <w:highlight w:val="white"/>
              </w:rPr>
            </w:pPr>
            <w:r>
              <w:rPr>
                <w:szCs w:val="22"/>
                <w:highlight w:val="white"/>
              </w:rPr>
              <w:t>Требования к началу срока выполнения работ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Cs w:val="22"/>
                <w:highlight w:val="white"/>
              </w:rPr>
            </w:pPr>
            <w:r>
              <w:rPr>
                <w:szCs w:val="22"/>
                <w:highlight w:val="white"/>
              </w:rPr>
              <w:t>Требования к окончанию срока выполнения работ</w:t>
            </w:r>
          </w:p>
        </w:tc>
      </w:tr>
      <w:tr>
        <w:trPr>
          <w:trHeight w:val="198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Cs w:val="22"/>
                <w:highlight w:val="white"/>
              </w:rPr>
            </w:pPr>
            <w:r>
              <w:rPr>
                <w:szCs w:val="22"/>
                <w:highlight w:val="white"/>
              </w:rPr>
              <w:t>3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Cs w:val="22"/>
                <w:highlight w:val="white"/>
              </w:rPr>
            </w:pPr>
            <w:r>
              <w:rPr>
                <w:szCs w:val="22"/>
                <w:highlight w:val="white"/>
              </w:rPr>
              <w:t>4</w:t>
            </w:r>
          </w:p>
        </w:tc>
      </w:tr>
      <w:tr>
        <w:trPr>
          <w:trHeight w:val="847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widowControl w:val="false"/>
              <w:numPr>
                <w:ilvl w:val="0"/>
                <w:numId w:val="27"/>
              </w:numPr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lang w:eastAsia="en-US"/>
              </w:rPr>
              <w:t>Выполнение работ по ремонту производственных зданий и сооружений Комсомольской ТЭЦ-1, Комсомольской ТЭЦ-2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с даты, следующей за датой заключения Договора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</w:rPr>
              <w:t>в течение 395 календарных дней с даты заключения договора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spacing w:lineRule="auto" w:line="240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</w:rPr>
      </w:r>
    </w:p>
    <w:p>
      <w:pPr>
        <w:pStyle w:val="Heading4"/>
        <w:numPr>
          <w:ilvl w:val="1"/>
          <w:numId w:val="36"/>
        </w:numPr>
        <w:rPr>
          <w:highlight w:val="white"/>
        </w:rPr>
      </w:pPr>
      <w:bookmarkStart w:id="43" w:name="_Toc129956744"/>
      <w:bookmarkStart w:id="44" w:name="_Toc139017632"/>
      <w:r>
        <w:rPr>
          <w:highlight w:val="white"/>
        </w:rPr>
        <w:t>Требования к качеству работ</w:t>
      </w:r>
      <w:bookmarkEnd w:id="43"/>
      <w:bookmarkEnd w:id="44"/>
      <w:r>
        <w:rPr/>
        <w:t>:</w:t>
      </w:r>
    </w:p>
    <w:p>
      <w:pPr>
        <w:pStyle w:val="Heading1"/>
        <w:numPr>
          <w:ilvl w:val="0"/>
          <w:numId w:val="0"/>
        </w:numPr>
        <w:ind w:left="0" w:hanging="0"/>
        <w:rPr>
          <w:highlight w:val="white"/>
        </w:rPr>
      </w:pPr>
      <w:bookmarkStart w:id="45" w:name="_Toc129956745"/>
      <w:bookmarkStart w:id="46" w:name="_Toc139017633"/>
      <w:bookmarkStart w:id="47" w:name="_Toc51339698"/>
      <w:bookmarkStart w:id="48" w:name="_Toc50125131"/>
      <w:r>
        <w:rPr>
          <w:sz w:val="24"/>
          <w:szCs w:val="24"/>
          <w:highlight w:val="white"/>
        </w:rPr>
        <w:t xml:space="preserve">Таблица 4. Требования к </w:t>
      </w:r>
      <w:bookmarkEnd w:id="47"/>
      <w:bookmarkEnd w:id="48"/>
      <w:r>
        <w:rPr>
          <w:sz w:val="24"/>
          <w:szCs w:val="24"/>
          <w:highlight w:val="white"/>
        </w:rPr>
        <w:t>качеству работ</w:t>
      </w:r>
      <w:bookmarkEnd w:id="45"/>
      <w:bookmarkEnd w:id="46"/>
      <w:r>
        <w:rPr/>
        <w:t>:</w:t>
      </w:r>
    </w:p>
    <w:p>
      <w:pPr>
        <w:pStyle w:val="Normal"/>
        <w:spacing w:before="0" w:after="120"/>
        <w:jc w:val="both"/>
        <w:rPr>
          <w:b/>
          <w:bCs/>
          <w:sz w:val="22"/>
          <w:szCs w:val="22"/>
          <w:highlight w:val="white"/>
        </w:rPr>
      </w:pPr>
      <w:r>
        <w:rPr>
          <w:b/>
          <w:bCs/>
          <w:sz w:val="22"/>
          <w:szCs w:val="22"/>
          <w:highlight w:val="white"/>
        </w:rPr>
        <w:t xml:space="preserve">Наименование работ: </w:t>
      </w:r>
      <w:r>
        <w:rPr>
          <w:sz w:val="22"/>
          <w:szCs w:val="22"/>
          <w:highlight w:val="white"/>
        </w:rPr>
        <w:t>в соответствии с Таблицей 2.</w:t>
      </w:r>
    </w:p>
    <w:tbl>
      <w:tblPr>
        <w:tblW w:w="1530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558"/>
        <w:gridCol w:w="1984"/>
        <w:gridCol w:w="5528"/>
        <w:gridCol w:w="2127"/>
        <w:gridCol w:w="1841"/>
        <w:gridCol w:w="2271"/>
      </w:tblGrid>
      <w:tr>
        <w:trPr/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№ </w:t>
            </w:r>
            <w:r>
              <w:rPr>
                <w:b/>
                <w:bCs/>
                <w:sz w:val="20"/>
                <w:szCs w:val="20"/>
                <w:highlight w:val="white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>Наименование параметра</w:t>
            </w:r>
          </w:p>
        </w:tc>
        <w:tc>
          <w:tcPr>
            <w:tcW w:w="76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>Требование заказчика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15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9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65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>Согласие с требованием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sz w:val="18"/>
                <w:szCs w:val="18"/>
                <w:highlight w:val="white"/>
              </w:rPr>
            </w:pPr>
            <w:r>
              <w:rPr>
                <w:b/>
                <w:bCs/>
                <w:sz w:val="18"/>
                <w:szCs w:val="18"/>
                <w:highlight w:val="white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>
          <w:trHeight w:val="150" w:hRule="atLeas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>5</w:t>
            </w:r>
          </w:p>
        </w:tc>
      </w:tr>
      <w:tr>
        <w:trPr>
          <w:trHeight w:val="215" w:hRule="atLeas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2"/>
              </w:numPr>
              <w:spacing w:before="60" w:after="60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Cs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Требования к выполнению работ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>Участник должен предоставить в заявке согласие оказать услуги,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</w:p>
        </w:tc>
        <w:tc>
          <w:tcPr>
            <w:tcW w:w="2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Cs/>
                <w:highlight w:val="white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>
        <w:trPr>
          <w:trHeight w:val="167" w:hRule="atLeas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22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bCs/>
                <w:highlight w:val="white"/>
              </w:rPr>
            </w:pPr>
            <w:r>
              <w:rPr>
                <w:rFonts w:eastAsia="Calibri"/>
                <w:bCs/>
                <w:highlight w:val="white"/>
              </w:rPr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b/>
                <w:sz w:val="22"/>
                <w:szCs w:val="22"/>
              </w:rPr>
              <w:t>Общие требования к выполнению работ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/>
            </w:r>
          </w:p>
        </w:tc>
      </w:tr>
      <w:tr>
        <w:trPr>
          <w:trHeight w:val="322" w:hRule="atLeas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22"/>
              </w:numPr>
              <w:spacing w:before="60" w:after="60"/>
              <w:ind w:left="142" w:firstLine="67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pBdr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Normal"/>
              <w:widowControl w:val="false"/>
              <w:pBdr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 xml:space="preserve"> </w:t>
            </w:r>
            <w:r>
              <w:rPr>
                <w:sz w:val="21"/>
                <w:szCs w:val="21"/>
                <w:highlight w:val="white"/>
              </w:rPr>
              <w:t>- СТО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 (приказ АО «ДГК» от 18.01.2022г. №19) (Приложение №5 к ТТ);</w:t>
            </w:r>
          </w:p>
          <w:p>
            <w:pPr>
              <w:pStyle w:val="Normal"/>
              <w:widowControl w:val="false"/>
              <w:pBdr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 xml:space="preserve"> </w:t>
            </w:r>
            <w:r>
              <w:rPr>
                <w:sz w:val="21"/>
                <w:szCs w:val="21"/>
                <w:highlight w:val="white"/>
              </w:rPr>
              <w:t>- СТО 70238424.27.100.017-2009 Тепловые электростанции. Ремонт и техническое обслуживание оборудования, зданий и сооружений. Организация производственных процессов. Нормы и требования;</w:t>
            </w:r>
          </w:p>
          <w:p>
            <w:pPr>
              <w:pStyle w:val="Normal"/>
              <w:widowControl w:val="false"/>
              <w:pBdr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 xml:space="preserve"> </w:t>
            </w:r>
            <w:r>
              <w:rPr>
                <w:sz w:val="21"/>
                <w:szCs w:val="21"/>
                <w:highlight w:val="white"/>
              </w:rPr>
              <w:t>- СП 48.13330.2019 «Свод правил. Организация строительства» (ред. от 28.03.2022);</w:t>
            </w:r>
          </w:p>
          <w:p>
            <w:pPr>
              <w:pStyle w:val="Normal"/>
              <w:widowControl w:val="false"/>
              <w:pBdr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 xml:space="preserve"> </w:t>
            </w:r>
            <w:r>
              <w:rPr>
                <w:sz w:val="21"/>
                <w:szCs w:val="21"/>
                <w:highlight w:val="white"/>
              </w:rPr>
              <w:t>- СТО 70238424.27.100.003-2008 "Здания и сооружения ТЭС. Организация эксплуатации и технического обслуживания. Нормы и требования";</w:t>
            </w:r>
          </w:p>
          <w:p>
            <w:pPr>
              <w:pStyle w:val="Normal"/>
              <w:widowControl w:val="false"/>
              <w:pBdr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 xml:space="preserve"> </w:t>
            </w:r>
            <w:r>
              <w:rPr>
                <w:sz w:val="21"/>
                <w:szCs w:val="21"/>
                <w:highlight w:val="white"/>
              </w:rPr>
              <w:t>- СП 70.13330.2012 Актуализированная редакция СНиП 3.03.01-87 Несущие и ограждающие конструкции;</w:t>
            </w:r>
          </w:p>
          <w:p>
            <w:pPr>
              <w:pStyle w:val="Normal"/>
              <w:widowControl w:val="false"/>
              <w:pBdr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 xml:space="preserve"> </w:t>
            </w:r>
            <w:r>
              <w:rPr>
                <w:sz w:val="21"/>
                <w:szCs w:val="21"/>
                <w:highlight w:val="white"/>
              </w:rPr>
              <w:t>- СП 63.13330.2018 «Бетонные и железобетонные конструкции. Основные положения. СНиП 52-01-2003 (с Изменениями N 1, 2)»;</w:t>
            </w:r>
          </w:p>
          <w:p>
            <w:pPr>
              <w:pStyle w:val="Normal"/>
              <w:widowControl w:val="false"/>
              <w:pBdr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 xml:space="preserve"> </w:t>
            </w:r>
            <w:r>
              <w:rPr>
                <w:sz w:val="21"/>
                <w:szCs w:val="21"/>
                <w:highlight w:val="white"/>
              </w:rPr>
              <w:t>- СП 17.13330.2017 Актуализированная редакция СНиП II-26-76. Кровли;</w:t>
            </w:r>
          </w:p>
          <w:p>
            <w:pPr>
              <w:pStyle w:val="Normal"/>
              <w:widowControl w:val="false"/>
              <w:pBdr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 xml:space="preserve"> </w:t>
            </w:r>
            <w:r>
              <w:rPr>
                <w:sz w:val="21"/>
                <w:szCs w:val="21"/>
                <w:highlight w:val="white"/>
              </w:rPr>
              <w:t>- СП 327.1325800.2017 Стены наружные с лицевым кирпичным слоем;</w:t>
            </w:r>
          </w:p>
          <w:p>
            <w:pPr>
              <w:pStyle w:val="Normal"/>
              <w:widowControl w:val="false"/>
              <w:pBdr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 xml:space="preserve"> </w:t>
            </w:r>
            <w:r>
              <w:rPr>
                <w:sz w:val="21"/>
                <w:szCs w:val="21"/>
                <w:highlight w:val="white"/>
              </w:rPr>
              <w:t>- СП 71.13330.2017 Актуализированная редакция СНиП 3.04.01-87 Изоляционные и отделочные покрытия;</w:t>
            </w:r>
          </w:p>
          <w:p>
            <w:pPr>
              <w:pStyle w:val="Normal"/>
              <w:widowControl w:val="false"/>
              <w:pBdr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 xml:space="preserve"> – </w:t>
            </w:r>
            <w:r>
              <w:rPr>
                <w:sz w:val="21"/>
                <w:szCs w:val="21"/>
                <w:highlight w:val="white"/>
              </w:rPr>
              <w:t>СП 129.13330.2019 «Наружные сети и сооружения водоснабжения и канализации»;</w:t>
            </w:r>
          </w:p>
          <w:p>
            <w:pPr>
              <w:pStyle w:val="Normal"/>
              <w:widowControl w:val="false"/>
              <w:pBdr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 xml:space="preserve"> </w:t>
            </w:r>
            <w:r>
              <w:rPr>
                <w:sz w:val="21"/>
                <w:szCs w:val="21"/>
                <w:highlight w:val="white"/>
              </w:rPr>
              <w:t>- ГОСТ 34378-2018 Конструкции ограждающие светопрозрачные. Окна и двери. Производство монтажных работ, контроль и требования к результатам работ;</w:t>
            </w:r>
          </w:p>
          <w:p>
            <w:pPr>
              <w:pStyle w:val="Normal"/>
              <w:widowControl w:val="false"/>
              <w:pBdr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 xml:space="preserve"> </w:t>
            </w:r>
            <w:r>
              <w:rPr>
                <w:sz w:val="21"/>
                <w:szCs w:val="21"/>
                <w:highlight w:val="white"/>
              </w:rPr>
              <w:t>- РД 153-34.0-21.601-98 «Типовая инструкция по эксплуатации производственных зданий и  сооружений энергопредприятий. Часть II. Раздел 2. Технология ремонтов  зданий и сооружений»;</w:t>
            </w:r>
          </w:p>
          <w:p>
            <w:pPr>
              <w:pStyle w:val="Normal"/>
              <w:widowControl w:val="false"/>
              <w:pBdr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 xml:space="preserve"> </w:t>
            </w:r>
            <w:r>
              <w:rPr>
                <w:sz w:val="21"/>
                <w:szCs w:val="21"/>
                <w:highlight w:val="white"/>
              </w:rPr>
              <w:t>- СТО НОСТРОЙ 2.13.170-2015 «Кровли зданий и сооружений с применением битумных и битумно-полимерных рулонных и мастичных материалов. Правила, контроль выполнения и требования к результатам работ»;</w:t>
            </w:r>
          </w:p>
          <w:p>
            <w:pPr>
              <w:pStyle w:val="Normal"/>
              <w:widowControl w:val="false"/>
              <w:pBdr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 xml:space="preserve"> </w:t>
            </w:r>
            <w:r>
              <w:rPr>
                <w:sz w:val="21"/>
                <w:szCs w:val="21"/>
                <w:highlight w:val="white"/>
              </w:rPr>
              <w:t>- СТО НОСТРОЙ 2.13.81-2012 «Крыши и кровли. Требования к устройству, правилам приемки и контроля».</w:t>
            </w:r>
          </w:p>
          <w:p>
            <w:pPr>
              <w:pStyle w:val="Normal"/>
              <w:widowControl w:val="false"/>
              <w:pBdr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399" w:hRule="exac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22"/>
              </w:numPr>
              <w:spacing w:before="60" w:after="60"/>
              <w:ind w:left="0" w:hanging="0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bCs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Требования к организации работ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</w:tr>
      <w:tr>
        <w:trPr/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22"/>
              </w:numPr>
              <w:spacing w:before="60" w:after="60"/>
              <w:ind w:left="0" w:hanging="0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Требования к организации процесса выполнения работ: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ind w:firstLine="425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Комплекс организационно–технических мероприятий, выполняемый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работ, оптимальное расходование материально-технических и трудовых ресурсов. Подрядчик разрабатывает планы подготовки к ремонту в соответствии с планами производственных объектов, принятыми к исполнению объемами работ и согласованным участием в материально–техническом обеспечении ремонтных работ.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ind w:firstLine="425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Изменения объемов работ, предусмотренных ведомостью планируемых работ, оформляются в соответствии с требованиями Положения «Об организации контроля и приемке выполненных работ на ремонтируемых объектах, объектах модернизации, реконструкции и технического перевооружения. Определение эффективности воздействия на оборудование АО «ДГК». 21-003-2019» </w:t>
            </w:r>
            <w:r>
              <w:rPr>
                <w:rFonts w:eastAsia="Calibri"/>
                <w:bCs/>
                <w:sz w:val="21"/>
                <w:szCs w:val="21"/>
                <w:highlight w:val="white"/>
              </w:rPr>
              <w:t>(Приложение №5 к ТТ)</w:t>
            </w:r>
            <w:r>
              <w:rPr>
                <w:sz w:val="21"/>
                <w:szCs w:val="21"/>
              </w:rPr>
              <w:t xml:space="preserve"> (ведомостью дополнительных работ по р</w:t>
            </w:r>
            <w:r>
              <w:rPr>
                <w:bCs/>
                <w:sz w:val="21"/>
                <w:szCs w:val="21"/>
              </w:rPr>
              <w:t>емонту и протоколом исключения работ из ведомости планируемых работ по ремонту), согласовываются с Подрядчиком и утверждаются техническим руководителем структурного подразделения, ответственного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непосредственную эксплуатацию производственного объекта, определяется условиями договора.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ind w:firstLine="425"/>
              <w:contextualSpacing/>
              <w:jc w:val="both"/>
              <w:rPr>
                <w:sz w:val="21"/>
                <w:szCs w:val="21"/>
                <w:highlight w:val="none"/>
              </w:rPr>
            </w:pPr>
            <w:r>
              <w:rPr>
                <w:bCs/>
                <w:sz w:val="21"/>
                <w:szCs w:val="21"/>
              </w:rPr>
              <w:t>До начала ремонта Подрядчик:</w:t>
            </w:r>
          </w:p>
          <w:p>
            <w:pPr>
              <w:pStyle w:val="Normal"/>
              <w:widowControl w:val="false"/>
              <w:numPr>
                <w:ilvl w:val="0"/>
                <w:numId w:val="24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rFonts w:eastAsia="Calibri"/>
                <w:bCs/>
                <w:sz w:val="21"/>
                <w:szCs w:val="21"/>
                <w14:ligatures w14:val="none"/>
              </w:rPr>
            </w:pPr>
            <w:r>
              <w:rPr>
                <w:rFonts w:eastAsia="Calibri"/>
                <w:sz w:val="21"/>
                <w:szCs w:val="21"/>
              </w:rPr>
              <w:t xml:space="preserve"> </w:t>
            </w:r>
            <w:r>
              <w:rPr>
                <w:rFonts w:eastAsia="Calibri"/>
                <w:sz w:val="21"/>
                <w:szCs w:val="21"/>
              </w:rPr>
              <w:t>- предоставляет Проект Производства Работ (ППР) с указанием общих методов и технологии работ, организационных вопросов с приложением графика выполнения работ (с указанием физических объёмов, потребных трудозатрат и материалов) для согласования Заказчиком;</w:t>
            </w:r>
          </w:p>
          <w:p>
            <w:pPr>
              <w:pStyle w:val="Normal"/>
              <w:widowControl w:val="false"/>
              <w:numPr>
                <w:ilvl w:val="0"/>
                <w:numId w:val="24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eastAsia="Calibri"/>
                <w:bCs/>
                <w:sz w:val="21"/>
                <w:szCs w:val="21"/>
              </w:rPr>
              <w:t xml:space="preserve"> </w:t>
            </w:r>
            <w:r>
              <w:rPr>
                <w:rFonts w:eastAsia="Calibri"/>
                <w:bCs/>
                <w:sz w:val="21"/>
                <w:szCs w:val="21"/>
              </w:rPr>
              <w:t>- проводит проверку выполнения подготовительных работ в соответствии с планом подготовки к ремонту;</w:t>
            </w:r>
          </w:p>
          <w:p>
            <w:pPr>
              <w:pStyle w:val="Normal"/>
              <w:widowControl w:val="false"/>
              <w:numPr>
                <w:ilvl w:val="0"/>
                <w:numId w:val="24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eastAsia="Calibri"/>
                <w:bCs/>
                <w:sz w:val="21"/>
                <w:szCs w:val="21"/>
              </w:rPr>
              <w:t xml:space="preserve"> </w:t>
            </w:r>
            <w:r>
              <w:rPr>
                <w:rFonts w:eastAsia="Calibri"/>
                <w:bCs/>
                <w:sz w:val="21"/>
                <w:szCs w:val="21"/>
              </w:rPr>
              <w:t>- определяет состав бригад (участков) по численности, квалификации и профессиям в соответствии с графиком ремонта. При этом должна быть обеспечена полная занятость рабочих в течение установленных графиком сроков производства работ;</w:t>
            </w:r>
          </w:p>
          <w:p>
            <w:pPr>
              <w:pStyle w:val="Normal"/>
              <w:widowControl w:val="false"/>
              <w:numPr>
                <w:ilvl w:val="0"/>
                <w:numId w:val="24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eastAsia="Calibri"/>
                <w:bCs/>
                <w:sz w:val="21"/>
                <w:szCs w:val="21"/>
              </w:rPr>
              <w:t xml:space="preserve"> </w:t>
            </w:r>
            <w:r>
              <w:rPr>
                <w:rFonts w:eastAsia="Calibri"/>
                <w:bCs/>
                <w:sz w:val="21"/>
                <w:szCs w:val="21"/>
              </w:rPr>
              <w:t>- назначает руководителей работ по ремонту в соответствии с номенклатурой и объемом работ, принятым по договору;</w:t>
            </w:r>
          </w:p>
          <w:p>
            <w:pPr>
              <w:pStyle w:val="Normal"/>
              <w:widowControl w:val="false"/>
              <w:numPr>
                <w:ilvl w:val="0"/>
                <w:numId w:val="24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eastAsia="Calibri"/>
                <w:bCs/>
                <w:sz w:val="21"/>
                <w:szCs w:val="21"/>
              </w:rPr>
              <w:t xml:space="preserve"> </w:t>
            </w:r>
            <w:r>
              <w:rPr>
                <w:rFonts w:eastAsia="Calibri"/>
                <w:bCs/>
                <w:sz w:val="21"/>
                <w:szCs w:val="21"/>
              </w:rPr>
              <w:t>- 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обеспечение;</w:t>
            </w:r>
          </w:p>
          <w:p>
            <w:pPr>
              <w:pStyle w:val="Normal"/>
              <w:widowControl w:val="false"/>
              <w:numPr>
                <w:ilvl w:val="0"/>
                <w:numId w:val="24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eastAsia="Calibri"/>
                <w:bCs/>
                <w:sz w:val="21"/>
                <w:szCs w:val="21"/>
              </w:rPr>
              <w:t xml:space="preserve"> </w:t>
            </w:r>
            <w:r>
              <w:rPr>
                <w:rFonts w:eastAsia="Calibri"/>
                <w:bCs/>
                <w:sz w:val="21"/>
                <w:szCs w:val="21"/>
              </w:rPr>
              <w:t>- проверяет удостоверения сварщиков, стропальщиков, крановщиков, и лиц других специальностей на право выполнения соответствующих работ;</w:t>
            </w:r>
          </w:p>
          <w:p>
            <w:pPr>
              <w:pStyle w:val="Normal"/>
              <w:widowControl w:val="false"/>
              <w:numPr>
                <w:ilvl w:val="0"/>
                <w:numId w:val="24"/>
              </w:numPr>
              <w:tabs>
                <w:tab w:val="clear" w:pos="709"/>
                <w:tab w:val="left" w:pos="426" w:leader="none"/>
              </w:tabs>
              <w:spacing w:before="60" w:after="60"/>
              <w:ind w:left="35" w:hanging="36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eastAsia="Calibri"/>
                <w:bCs/>
                <w:sz w:val="21"/>
                <w:szCs w:val="21"/>
              </w:rPr>
              <w:t>проверяет выполнение требований допуска ремонтного и командированного персонала, предусмотренного п. 1.2.2 ТТ.</w:t>
            </w:r>
          </w:p>
          <w:p>
            <w:pPr>
              <w:pStyle w:val="Normal"/>
              <w:widowControl w:val="false"/>
              <w:spacing w:before="0" w:after="60"/>
              <w:ind w:firstLine="456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eastAsia="Calibri"/>
                <w:bCs/>
                <w:sz w:val="21"/>
                <w:szCs w:val="21"/>
              </w:rPr>
              <w:t>Руководитель работ подрядной организации, участвующей в производстве Работ совместно с представителями Заказчика, осуществляет входной контроль качества применяемых материалов, проводит оперативный контроль качества выполняемых ремонтных работ, проверяет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567" w:leader="none"/>
                <w:tab w:val="left" w:pos="709" w:leader="none"/>
              </w:tabs>
              <w:spacing w:before="0" w:after="0"/>
              <w:ind w:firstLine="425"/>
              <w:contextualSpacing/>
              <w:jc w:val="both"/>
              <w:rPr>
                <w:rFonts w:eastAsia="Calibri"/>
                <w:bCs/>
                <w:sz w:val="21"/>
                <w:szCs w:val="21"/>
              </w:rPr>
            </w:pPr>
            <w:r>
              <w:rPr>
                <w:rFonts w:eastAsia="Calibri"/>
                <w:bCs/>
                <w:sz w:val="21"/>
                <w:szCs w:val="21"/>
              </w:rPr>
              <w:t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 – приложение №2.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2154" w:hRule="atLeas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000" w:hanging="432"/>
              <w:rPr>
                <w:highlight w:val="white"/>
              </w:rPr>
            </w:pPr>
            <w:r>
              <w:rPr>
                <w:sz w:val="22"/>
                <w:szCs w:val="22"/>
              </w:rPr>
              <w:t>1.2.2.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Организационно-технические мероприятия по допуску персонала подрядчика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60"/>
              <w:ind w:firstLine="456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eastAsia="Calibri"/>
                <w:bCs/>
                <w:sz w:val="21"/>
                <w:szCs w:val="21"/>
                <w:highlight w:val="white"/>
              </w:rPr>
              <w:t>Допуск персонала подрядчика для выполнения работ должен осуществляться в соответствии с:</w:t>
            </w:r>
          </w:p>
          <w:p>
            <w:pPr>
              <w:pStyle w:val="Normal"/>
              <w:widowControl w:val="false"/>
              <w:numPr>
                <w:ilvl w:val="0"/>
                <w:numId w:val="25"/>
              </w:numPr>
              <w:spacing w:before="0" w:after="60"/>
              <w:ind w:left="35" w:hanging="36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eastAsia="Calibri"/>
                <w:bCs/>
                <w:sz w:val="21"/>
                <w:szCs w:val="21"/>
                <w:highlight w:val="white"/>
              </w:rPr>
              <w:t xml:space="preserve">Положением о допуске персонала строительно-монтажных организаций и командированного персонала к выполнению работ на объектах АО «ДГК» №22.1-504-2025 (утверждено приказом АО «ДГК» №П-ДГК/795 от 25.09.2025 г.) (Приложение №5 к </w:t>
            </w:r>
            <w:r>
              <w:rPr>
                <w:rFonts w:eastAsia="Calibri"/>
                <w:bCs/>
                <w:sz w:val="21"/>
                <w:szCs w:val="21"/>
                <w:highlight w:val="white"/>
                <w:lang w:val="en-US"/>
              </w:rPr>
              <w:t>ТТ</w:t>
            </w:r>
            <w:r>
              <w:rPr>
                <w:rFonts w:eastAsia="Calibri"/>
                <w:bCs/>
                <w:sz w:val="21"/>
                <w:szCs w:val="21"/>
                <w:highlight w:val="white"/>
              </w:rPr>
              <w:t>).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ind w:firstLine="425"/>
              <w:contextualSpacing/>
              <w:jc w:val="both"/>
              <w:rPr>
                <w:rFonts w:eastAsia="Calibri"/>
                <w:sz w:val="21"/>
                <w:szCs w:val="21"/>
                <w:highlight w:val="none"/>
              </w:rPr>
            </w:pPr>
            <w:r>
              <w:rPr>
                <w:rFonts w:eastAsia="Calibri"/>
                <w:bCs/>
                <w:sz w:val="21"/>
                <w:szCs w:val="21"/>
                <w:highlight w:val="white"/>
              </w:rPr>
              <w:t>Более подробно требования к допуску персонала подрядчика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bCs/>
                <w:sz w:val="21"/>
                <w:szCs w:val="21"/>
              </w:rPr>
              <w:t xml:space="preserve"> – приложение №2</w:t>
            </w:r>
            <w:r>
              <w:rPr>
                <w:rFonts w:eastAsia="Calibri"/>
                <w:bCs/>
                <w:sz w:val="21"/>
                <w:szCs w:val="21"/>
                <w:highlight w:val="white"/>
              </w:rPr>
              <w:t>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363" w:hRule="exac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22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jc w:val="both"/>
              <w:rPr>
                <w:bCs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Требования к применяемым при выполнении работ оборудованию, материалам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20" w:hRule="atLeas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22"/>
              </w:numPr>
              <w:spacing w:before="60" w:after="60"/>
              <w:ind w:left="0" w:hanging="0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rPr>
                <w:bCs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Требования к применяемым материалам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eastAsia="Calibri"/>
                <w:bCs/>
                <w:sz w:val="21"/>
                <w:szCs w:val="21"/>
                <w:highlight w:val="white"/>
              </w:rPr>
              <w:t xml:space="preserve">Материалы, необходимые для выполнения работ, приобретаются подрядчиком </w:t>
            </w:r>
            <w:r>
              <w:rPr>
                <w:rFonts w:eastAsia="Calibri"/>
                <w:bCs/>
                <w:sz w:val="21"/>
                <w:szCs w:val="21"/>
              </w:rPr>
              <w:t xml:space="preserve">самостоятельно в соответствии с приложением №3 к </w:t>
            </w:r>
            <w:r>
              <w:rPr>
                <w:rFonts w:eastAsia="Calibri"/>
                <w:bCs/>
                <w:sz w:val="21"/>
                <w:szCs w:val="21"/>
                <w:highlight w:val="white"/>
              </w:rPr>
              <w:t>настоящим ТТ</w:t>
            </w:r>
            <w:r>
              <w:rPr>
                <w:rFonts w:eastAsia="Calibri"/>
                <w:bCs/>
                <w:sz w:val="21"/>
                <w:szCs w:val="21"/>
              </w:rPr>
              <w:t xml:space="preserve"> - Ведомость материалов Подрядчика.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06" w:leader="none"/>
              </w:tabs>
              <w:spacing w:before="0" w:after="60"/>
              <w:ind w:firstLine="283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eastAsia="Calibri"/>
                <w:bCs/>
                <w:sz w:val="21"/>
                <w:szCs w:val="21"/>
                <w:highlight w:val="white"/>
              </w:rPr>
              <w:t xml:space="preserve">Все </w:t>
            </w:r>
            <w:r>
              <w:rPr>
                <w:rFonts w:eastAsia="Calibri" w:cs="Times New Roman"/>
                <w:sz w:val="21"/>
                <w:szCs w:val="21"/>
                <w:highlight w:val="white"/>
              </w:rPr>
              <w:t xml:space="preserve">применяемые в ходе ремонта </w:t>
            </w:r>
            <w:r>
              <w:rPr>
                <w:rFonts w:eastAsia="Calibri"/>
                <w:bCs/>
                <w:sz w:val="21"/>
                <w:szCs w:val="21"/>
                <w:highlight w:val="white"/>
              </w:rPr>
              <w:t>материалы должны быть новыми и не использованными ранее</w:t>
            </w:r>
            <w:r>
              <w:rPr>
                <w:rFonts w:eastAsia="Calibri"/>
                <w:bCs/>
                <w:sz w:val="21"/>
                <w:szCs w:val="21"/>
              </w:rPr>
              <w:t>. Под новыми следует понимать материалы, которые не были в употреблении, не проходили ремонт, в том числе восстановление потребительских свойств.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  <w:highlight w:val="white"/>
              </w:rPr>
              <w:t>Подрядчиком в работе может быть применена эквивалентная продукция*, предварительно согласованная с Заказчиком.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  <w:highlight w:val="white"/>
              </w:rPr>
              <w:t xml:space="preserve">В случае, если на этапе исполнения договора Подрядчиком, вместо материалов, указанных </w:t>
            </w:r>
            <w:r>
              <w:rPr>
                <w:bCs/>
                <w:sz w:val="21"/>
                <w:szCs w:val="21"/>
              </w:rPr>
              <w:t xml:space="preserve">в </w:t>
            </w:r>
            <w:r>
              <w:rPr>
                <w:rFonts w:eastAsia="Calibri"/>
                <w:bCs/>
                <w:sz w:val="21"/>
                <w:szCs w:val="21"/>
              </w:rPr>
              <w:t xml:space="preserve">приложении №3 к </w:t>
            </w:r>
            <w:r>
              <w:rPr>
                <w:rFonts w:eastAsia="Calibri"/>
                <w:bCs/>
                <w:sz w:val="21"/>
                <w:szCs w:val="21"/>
                <w:highlight w:val="white"/>
              </w:rPr>
              <w:t>ТТ</w:t>
            </w:r>
            <w:r>
              <w:rPr>
                <w:bCs/>
                <w:sz w:val="21"/>
                <w:szCs w:val="21"/>
                <w:highlight w:val="white"/>
              </w:rPr>
              <w:t>, будет применяться эквивалентная продукция, Подрядчик принимает на себя все затраты по внесению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      </w:r>
          </w:p>
          <w:p>
            <w:pPr>
              <w:pStyle w:val="Normal"/>
              <w:widowControl w:val="false"/>
              <w:numPr>
                <w:ilvl w:val="0"/>
                <w:numId w:val="26"/>
              </w:numPr>
              <w:tabs>
                <w:tab w:val="clear" w:pos="709"/>
                <w:tab w:val="left" w:pos="406" w:leader="none"/>
              </w:tabs>
              <w:spacing w:before="0" w:after="60"/>
              <w:ind w:left="35" w:hanging="360"/>
              <w:contextualSpacing/>
              <w:jc w:val="both"/>
              <w:rPr>
                <w:sz w:val="21"/>
                <w:szCs w:val="21"/>
              </w:rPr>
            </w:pPr>
            <w:r>
              <w:rPr>
                <w:rFonts w:eastAsia="Calibri"/>
                <w:bCs/>
                <w:sz w:val="21"/>
                <w:szCs w:val="21"/>
                <w:highlight w:val="white"/>
              </w:rPr>
              <w:t>* Эквивалентная продукция - это продукция, которая по техническим и функциональным характеристикам не уступает характеристикам, указанным</w:t>
            </w:r>
            <w:r>
              <w:rPr>
                <w:rFonts w:eastAsia="Calibri"/>
                <w:sz w:val="21"/>
                <w:szCs w:val="21"/>
                <w:highlight w:val="white"/>
              </w:rPr>
              <w:t xml:space="preserve"> в документации о закупке, в том числе, по гарантийным срокам и срокам эксплуатации.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56" w:hRule="exac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22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jc w:val="both"/>
              <w:rPr>
                <w:bCs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Требования к контролю качества работ и материалов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1879" w:hRule="atLeas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22"/>
              </w:numPr>
              <w:spacing w:before="60" w:after="60"/>
              <w:ind w:left="0" w:hanging="0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Контроль качества используемых материалов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60"/>
              <w:ind w:firstLine="425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highlight w:val="white"/>
              </w:rPr>
              <w:t>Материалы Подрядчика должны иметь сертификаты, паспорта и другие документы, подтверждающие их качество.</w:t>
            </w:r>
          </w:p>
          <w:p>
            <w:pPr>
              <w:pStyle w:val="Normal"/>
              <w:widowControl w:val="false"/>
              <w:spacing w:before="0" w:after="60"/>
              <w:contextualSpacing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  <w:highlight w:val="white"/>
              </w:rPr>
              <w:t>При осуществлении Подрядчиком входного контроля качества строительных материалов и изделий, поступивших на ремонтную площадку, обязательное наличие и ведение журнала входного учета и контроля качества получаемых материалов. Отсутствие записи о приемке материалов и оборудовании в данном журнале дает основание Заказчику в отказе приемки выполненных работ с использованием соответствующих материалов.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2530" w:hRule="atLeas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22"/>
              </w:numPr>
              <w:spacing w:before="60" w:after="60"/>
              <w:ind w:left="0" w:hanging="0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Требования к контролю качества работ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highlight w:val="white"/>
              </w:rPr>
              <w:t>Работы должны быть выполнены в полном соответствии с требованиями государственных стандартов, действующих строительных норм и правил, ПУЭ, НПБ, технических регламентов, санитарных норм и правил.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highlight w:val="white"/>
              </w:rPr>
              <w:t>Приемка в эксплуатацию и контроль качества ремонта должны производиться в соответствии с разделами №4.2 «Об организации контроля и приемке выполненных работ на ремонтируемых объектах, объектах модернизации, реконструкции и технического перевооружения. Определение эффективности воздействия на оборудование АО «ДГК». 21-003-2019» (Приложение №5 к ТТ)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  <w:highlight w:val="white"/>
              </w:rPr>
            </w:pPr>
            <w:r>
              <w:rPr>
                <w:sz w:val="21"/>
                <w:szCs w:val="21"/>
              </w:rPr>
              <w:t>Более п</w:t>
            </w:r>
            <w:r>
              <w:rPr>
                <w:sz w:val="21"/>
                <w:szCs w:val="21"/>
                <w:highlight w:val="white"/>
              </w:rPr>
              <w:t>одробно требования указаны в проекте договора подряда (в том числе в разделе №2), который включен в состав Документации о закупке –приложение №2.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386" w:hRule="exac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22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  <w:tab w:val="center" w:pos="4711" w:leader="none"/>
              </w:tabs>
              <w:spacing w:before="60" w:after="60"/>
              <w:jc w:val="both"/>
              <w:rPr>
                <w:bCs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Требования к персоналу подрядчика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</w:tr>
      <w:tr>
        <w:trPr/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22"/>
              </w:numPr>
              <w:spacing w:before="60" w:after="60"/>
              <w:ind w:left="0" w:hanging="0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>Общие требования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highlight w:val="white"/>
              </w:rPr>
              <w:t>Подрядчик должен производить работы квалифицированными специалистами рабочих специальностей и располагать: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highlight w:val="white"/>
              </w:rPr>
              <w:t>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highlight w:val="white"/>
              </w:rPr>
              <w:t>достаточным количеством аттестованного персонала, организованного по принципу комплексных специализированных бригад.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highlight w:val="white"/>
              </w:rPr>
              <w:t>Квалификация персонала должна соответствовать видам выполняемых работ.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highlight w:val="white"/>
              </w:rPr>
              <w:t>До начала проведения работ в рамках исполнения договора после его заключения подрядчик предоставляет: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  <w:highlight w:val="white"/>
              </w:rPr>
            </w:pPr>
            <w:r>
              <w:rPr>
                <w:sz w:val="21"/>
                <w:szCs w:val="21"/>
                <w:highlight w:val="white"/>
              </w:rPr>
              <w:t>список персонала с указанием сведений  о квалификации персонала, разряде и группе по электробезопасности с приложением копий  удостоверений на производство специальных видов работ (сварочных, огневых, грузоподъемных, работ с электро - и пневмоинструментом).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63" w:hRule="exac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22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jc w:val="both"/>
              <w:rPr>
                <w:bCs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Требования к безопасности работ и охране труда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3408" w:hRule="atLeas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22"/>
              </w:numPr>
              <w:spacing w:before="60" w:after="60"/>
              <w:ind w:left="0" w:hanging="0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outlineLvl w:val="2"/>
              <w:rPr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>Требования к безопасности выполняемых работ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  <w:highlight w:val="white"/>
              </w:rPr>
              <w:t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1"/>
                <w:szCs w:val="21"/>
              </w:rPr>
            </w:pPr>
            <w:r>
              <w:rPr>
                <w:iCs/>
                <w:sz w:val="21"/>
                <w:szCs w:val="21"/>
              </w:rPr>
              <w:t>- СНиП 12-03-2001 «Безопасность труда в строительстве. Часть 1. Общие требования».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1"/>
                <w:szCs w:val="21"/>
                <w:highlight w:val="none"/>
              </w:rPr>
            </w:pPr>
            <w:r>
              <w:rPr>
                <w:iCs/>
                <w:sz w:val="21"/>
                <w:szCs w:val="21"/>
              </w:rPr>
              <w:t xml:space="preserve"> </w:t>
            </w:r>
            <w:r>
              <w:rPr>
                <w:iCs/>
                <w:sz w:val="21"/>
                <w:szCs w:val="21"/>
              </w:rPr>
              <w:t>- СНиП 12-04-2002 «Безопасность труда в строительстве. Часть 2. Строительное производство».</w:t>
            </w:r>
          </w:p>
          <w:p>
            <w:pPr>
              <w:pStyle w:val="Normal"/>
              <w:widowControl w:val="false"/>
              <w:spacing w:before="0" w:after="0"/>
              <w:contextualSpacing/>
              <w:rPr>
                <w:sz w:val="21"/>
                <w:szCs w:val="21"/>
              </w:rPr>
            </w:pPr>
            <w:r>
              <w:rPr>
                <w:iCs/>
                <w:sz w:val="21"/>
                <w:szCs w:val="21"/>
              </w:rPr>
              <w:t xml:space="preserve"> </w:t>
            </w:r>
            <w:r>
              <w:rPr>
                <w:iCs/>
                <w:sz w:val="21"/>
                <w:szCs w:val="21"/>
              </w:rPr>
              <w:t xml:space="preserve">- </w:t>
            </w:r>
            <w:r>
              <w:rPr>
                <w:rFonts w:eastAsia="Courier New"/>
                <w:color w:val="000000"/>
                <w:sz w:val="21"/>
                <w:szCs w:val="21"/>
                <w:lang w:bidi="ru-RU"/>
              </w:rPr>
              <w:t>"Правила безопасности опасных производственных объектов, на которых используются подъемные сооружения" утвержденные приказом Федеральной службой по экологическому и атомному надзору от 26.11.2020 г. № 461.</w:t>
            </w:r>
          </w:p>
          <w:p>
            <w:pPr>
              <w:pStyle w:val="Normal"/>
              <w:widowControl w:val="false"/>
              <w:spacing w:before="0" w:after="0"/>
              <w:ind w:firstLine="310"/>
              <w:contextualSpacing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5280" w:hRule="atLeas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22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outlineLvl w:val="2"/>
              <w:rPr>
                <w:rFonts w:eastAsia="Calibri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>Соблюдение требований к пожарной безопасности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highlight w:val="white"/>
              </w:rPr>
              <w:t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360" w:leader="none"/>
              </w:tabs>
              <w:spacing w:before="0" w:after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Правилах противопожарного режима в Российской Федерации, утверждены Постановлением Правительства РФ от 16.09.2020 № 1479;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9"/>
                <w:tab w:val="left" w:pos="360" w:leader="none"/>
              </w:tabs>
              <w:spacing w:before="0" w:after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Федеральный закон №123-ФЗ от 22.07.2008 «Технический регламент о требованиях пожарной безопасности».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ГОСТ 12.1.004-91* Система стандартов безопасности труда. Пожарная безопасность. Общие требования.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highlight w:val="white"/>
              </w:rPr>
              <w:t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highlight w:val="white"/>
              </w:rPr>
              <w:t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highlight w:val="white"/>
              </w:rPr>
              <w:t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highlight w:val="white"/>
              </w:rPr>
              <w:t>Ремонтная площадка должна быть оснащена средствами пожаротушения.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1"/>
                <w:szCs w:val="21"/>
                <w:highlight w:val="white"/>
              </w:rPr>
            </w:pPr>
            <w:r>
              <w:rPr>
                <w:sz w:val="21"/>
                <w:szCs w:val="21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22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outlineLvl w:val="2"/>
              <w:rPr>
                <w:rFonts w:eastAsia="Calibri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>Соблюдение требований к охране окружающей среды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При выполнении всех строительных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Отходы, строительный мусор должны своевременно вывозиться для дальнейшей утилизации.</w:t>
            </w:r>
          </w:p>
          <w:p>
            <w:pPr>
              <w:pStyle w:val="Normal"/>
              <w:widowControl w:val="false"/>
              <w:spacing w:before="0" w:after="60"/>
              <w:ind w:right="225" w:hanging="0"/>
              <w:contextualSpacing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Мероприятия и работы по охране окружающей среды вести в соответствии:</w:t>
            </w:r>
          </w:p>
          <w:p>
            <w:pPr>
              <w:pStyle w:val="Normal"/>
              <w:widowControl w:val="false"/>
              <w:spacing w:before="0" w:after="60"/>
              <w:ind w:right="225" w:hanging="0"/>
              <w:contextualSpacing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- Федеральный закон от 10.01.2002 № 7-ФЗ «Об охране окружающей среды» (ред. от 25.12.2023);</w:t>
            </w:r>
          </w:p>
          <w:p>
            <w:pPr>
              <w:pStyle w:val="Normal"/>
              <w:widowControl w:val="false"/>
              <w:spacing w:before="0" w:after="60"/>
              <w:ind w:right="225" w:hanging="0"/>
              <w:contextualSpacing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- Федеральный закон от 04.05.1999 № 96-ФЗ «Об охране атмосферного воздуха» (ред. от 13.06.2023);</w:t>
            </w:r>
          </w:p>
          <w:p>
            <w:pPr>
              <w:pStyle w:val="Normal"/>
              <w:widowControl w:val="false"/>
              <w:spacing w:before="0" w:after="60"/>
              <w:ind w:right="225" w:hanging="0"/>
              <w:contextualSpacing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- Водный кодекс Российской Федерации от 03.06.2006 N 74-ФЗ (ред. от 25.12.2023);</w:t>
            </w:r>
          </w:p>
          <w:p>
            <w:pPr>
              <w:pStyle w:val="Normal"/>
              <w:widowControl w:val="false"/>
              <w:spacing w:before="0" w:after="60"/>
              <w:ind w:right="225" w:hanging="0"/>
              <w:contextualSpacing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- СП 34.13330.2012 «Автомобильные дороги. Актуализированная редакция СНиП 2.05.02-85*»;</w:t>
            </w:r>
          </w:p>
          <w:p>
            <w:pPr>
              <w:pStyle w:val="Normal"/>
              <w:widowControl w:val="false"/>
              <w:spacing w:before="0" w:after="60"/>
              <w:ind w:right="225" w:hanging="0"/>
              <w:contextualSpacing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- ОДН 218.5.016-2002 «Показатели и нормы экологической безопасности автомобильной дороги» - Распоряжение Минтранс РФ от 25.12.2020 №ИС-1147-р.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spacing w:before="0" w:after="0"/>
              <w:ind w:firstLine="283"/>
              <w:contextualSpacing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22"/>
              </w:numPr>
              <w:spacing w:before="60" w:after="60"/>
              <w:ind w:left="1224" w:hanging="1199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outlineLvl w:val="2"/>
              <w:rPr>
                <w:rFonts w:eastAsia="Calibri"/>
                <w:highlight w:val="white"/>
              </w:rPr>
            </w:pPr>
            <w:bookmarkStart w:id="49" w:name="undefined"/>
            <w:r>
              <w:rPr>
                <w:rFonts w:eastAsia="Calibri"/>
                <w:sz w:val="22"/>
                <w:szCs w:val="22"/>
                <w:highlight w:val="white"/>
              </w:rPr>
              <w:t>Соблюдение требований охраны труда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430"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</w:t>
            </w:r>
          </w:p>
          <w:p>
            <w:pPr>
              <w:pStyle w:val="Normal"/>
              <w:widowControl w:val="false"/>
              <w:ind w:firstLine="430"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      </w:r>
          </w:p>
          <w:p>
            <w:pPr>
              <w:pStyle w:val="Normal"/>
              <w:widowControl w:val="false"/>
              <w:ind w:firstLine="430"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Организация ремонтной площадки, участков работ и рабочих мест должна обеспечивать безопасность труда работающих на всех этапах выполнения строительно-монтажных работ. Для производства работ в охранной зоне необходимо получить наряд-допуск.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67" w:leader="none"/>
              </w:tabs>
              <w:ind w:firstLine="283"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tabs>
                <w:tab w:val="clear" w:pos="709"/>
                <w:tab w:val="left" w:pos="567" w:leader="none"/>
              </w:tabs>
              <w:ind w:left="62" w:hanging="0"/>
              <w:jc w:val="both"/>
              <w:rPr/>
            </w:pPr>
            <w:r>
              <w:rPr>
                <w:sz w:val="22"/>
                <w:szCs w:val="22"/>
              </w:rPr>
              <w:t>Правилах по охране труда при строительстве, реконструкции и ремонте (</w:t>
            </w:r>
            <w:r>
              <w:rPr>
                <w:sz w:val="22"/>
                <w:szCs w:val="22"/>
                <w:highlight w:val="white"/>
              </w:rPr>
              <w:t>утверждены</w:t>
            </w:r>
            <w:r>
              <w:rPr>
                <w:sz w:val="22"/>
                <w:szCs w:val="22"/>
              </w:rPr>
              <w:t xml:space="preserve"> приказом Министерства труда и социальной защиты РФ от 11 декабря 2020 г. N 883н);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tabs>
                <w:tab w:val="clear" w:pos="709"/>
                <w:tab w:val="left" w:pos="567" w:leader="none"/>
              </w:tabs>
              <w:ind w:left="62" w:hanging="0"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Правилах по охране труда при работе на высоте (утверждены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>приказом Министерства труда от 16.11.2020 №782н)</w:t>
            </w:r>
            <w:r>
              <w:rPr>
                <w:sz w:val="22"/>
                <w:szCs w:val="22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tabs>
                <w:tab w:val="clear" w:pos="709"/>
                <w:tab w:val="left" w:pos="567" w:leader="none"/>
              </w:tabs>
              <w:ind w:left="62" w:hanging="0"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Правилах по охране труда при работе с инструментом и приспособлениями (утверждены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>приказом Министерства труда от 27.11.2020 № 835н);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tabs>
                <w:tab w:val="clear" w:pos="709"/>
                <w:tab w:val="left" w:pos="567" w:leader="none"/>
              </w:tabs>
              <w:ind w:left="62" w:hanging="0"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Правилах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tabs>
                <w:tab w:val="clear" w:pos="709"/>
                <w:tab w:val="left" w:pos="567" w:leader="none"/>
              </w:tabs>
              <w:ind w:left="62" w:hanging="0"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Правилах по охране труда при эксплуатации электроустановок, утвержденные Приказом Министерства труда и социальной защиты РФ от 15.12.2020 №903н.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tabs>
                <w:tab w:val="clear" w:pos="709"/>
                <w:tab w:val="left" w:pos="313" w:leader="none"/>
                <w:tab w:val="left" w:pos="413" w:leader="none"/>
              </w:tabs>
              <w:spacing w:before="0" w:after="60"/>
              <w:ind w:left="62" w:hanging="0"/>
              <w:contextualSpacing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Правила по охране труда при обработке металлов (утверждены приказом Министерства труда и социальной защиты Российской Федерации от 11.12.2020г. №887н);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tabs>
                <w:tab w:val="clear" w:pos="709"/>
                <w:tab w:val="left" w:pos="313" w:leader="none"/>
                <w:tab w:val="left" w:pos="413" w:leader="none"/>
              </w:tabs>
              <w:spacing w:before="0" w:after="60"/>
              <w:ind w:left="62" w:hanging="0"/>
              <w:contextualSpacing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Правилах при погрузочно-разгрузочных работах и размещении грузов (утверждены приказом Министерства труда и социальной защиты Российской Федерации от 28.10.2020г. №753н);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tabs>
                <w:tab w:val="clear" w:pos="709"/>
                <w:tab w:val="left" w:pos="313" w:leader="none"/>
                <w:tab w:val="left" w:pos="413" w:leader="none"/>
              </w:tabs>
              <w:spacing w:before="0" w:after="60"/>
              <w:ind w:left="62" w:hanging="0"/>
              <w:contextualSpacing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Правилах при эксплуатации промышленного транспорта (напольный безрельсовый колесный транспорт) (утверждены приказом Министерства труда и социальной защиты Российской Федерации от 18.11.2020г. №814н);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tabs>
                <w:tab w:val="clear" w:pos="709"/>
                <w:tab w:val="left" w:pos="313" w:leader="none"/>
                <w:tab w:val="left" w:pos="413" w:leader="none"/>
              </w:tabs>
              <w:spacing w:before="0" w:after="60"/>
              <w:ind w:left="62" w:hanging="0"/>
              <w:contextualSpacing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Правилах при выполнении электросварочных и газосварочных работ (утверждены приказом Министерства труда и социальной защиты Российской Федерации от 11.12.2020г. №884н);</w:t>
            </w:r>
          </w:p>
          <w:p>
            <w:pPr>
              <w:pStyle w:val="Normal"/>
              <w:widowControl w:val="false"/>
              <w:numPr>
                <w:ilvl w:val="0"/>
                <w:numId w:val="21"/>
              </w:numPr>
              <w:tabs>
                <w:tab w:val="clear" w:pos="709"/>
                <w:tab w:val="left" w:pos="313" w:leader="none"/>
                <w:tab w:val="left" w:pos="413" w:leader="none"/>
              </w:tabs>
              <w:spacing w:before="0" w:after="60"/>
              <w:ind w:left="62" w:hanging="0"/>
              <w:contextualSpacing/>
              <w:jc w:val="both"/>
              <w:rPr/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  <w:highlight w:val="white"/>
              </w:rPr>
              <w:t>равилах безопасности опасных производственных объектов, на которых используются подъемные сооружения (утверждены приказом Федеральной службы по экологическому, технологическому и атомному надзору от 26.11.2020г. №461).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572" w:leader="none"/>
              </w:tabs>
              <w:spacing w:before="0" w:after="60"/>
              <w:ind w:left="27" w:firstLine="283"/>
              <w:contextualSpacing/>
              <w:jc w:val="both"/>
              <w:rPr/>
            </w:pPr>
            <w:r>
              <w:rPr>
                <w:sz w:val="22"/>
                <w:szCs w:val="22"/>
                <w:highlight w:val="white"/>
              </w:rPr>
              <w:t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2"/>
              </w:numPr>
              <w:spacing w:before="60" w:after="60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Cs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Требования к результатам работ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971" w:hRule="atLeas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22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b/>
                <w:sz w:val="22"/>
                <w:szCs w:val="22"/>
                <w:highlight w:val="white"/>
              </w:rPr>
              <w:t>Общие требования к результатам работ</w:t>
            </w:r>
          </w:p>
          <w:p>
            <w:pPr>
              <w:pStyle w:val="Normal"/>
              <w:widowControl w:val="false"/>
              <w:jc w:val="both"/>
              <w:rPr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>Состояние отремонтированных зданий и сооружений Комсомольской ТЭЦ-1 и Комсомольской ТЭЦ-2 должно соответствовать требованиям нормативно-технической документации на ремонт в течение гарантийного срока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912" w:hRule="atLeas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22"/>
              </w:numPr>
              <w:spacing w:before="60" w:after="60"/>
              <w:ind w:left="0" w:hanging="0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b/>
                <w:bCs/>
                <w:sz w:val="22"/>
                <w:szCs w:val="22"/>
                <w:highlight w:val="white"/>
              </w:rPr>
              <w:t>Требования к порядку приемки результатов работ</w:t>
            </w:r>
          </w:p>
          <w:p>
            <w:pPr>
              <w:pStyle w:val="Normal"/>
              <w:widowControl w:val="false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highlight w:val="white"/>
              </w:rPr>
              <w:t>Подробно указаны в проекте договора подряда (в том числе в разделе №4), который включен в состав Документации о закупке</w:t>
            </w:r>
            <w:r>
              <w:rPr>
                <w:rFonts w:eastAsia="Calibri"/>
                <w:bCs/>
                <w:sz w:val="21"/>
                <w:szCs w:val="21"/>
              </w:rPr>
              <w:t xml:space="preserve"> – приложение №2</w:t>
            </w:r>
            <w:r>
              <w:rPr>
                <w:sz w:val="21"/>
                <w:szCs w:val="21"/>
                <w:highlight w:val="white"/>
              </w:rPr>
              <w:t>. Перед передачей заказчику результатов работ подрядчик должен провести испытания отремонтированного кровельного покрытия, способом пролива поверхности водой, на отсутствие протеканий.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179" w:hRule="atLeas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22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>Требования к оформлению документации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22"/>
              </w:numPr>
              <w:spacing w:before="60" w:after="60"/>
              <w:ind w:left="0" w:firstLine="34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60" w:after="60"/>
              <w:outlineLvl w:val="2"/>
              <w:rPr>
                <w:rFonts w:eastAsia="Calibri"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>Общие требования к оформлению документации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27" w:firstLine="398"/>
              <w:jc w:val="both"/>
              <w:rPr>
                <w:sz w:val="21"/>
                <w:szCs w:val="21"/>
                <w:highlight w:val="white"/>
              </w:rPr>
            </w:pPr>
            <w:r>
              <w:rPr>
                <w:sz w:val="21"/>
                <w:szCs w:val="21"/>
                <w:highlight w:val="white"/>
              </w:rPr>
              <w:t xml:space="preserve">Представить Заказчику с актами выполненных работ (в 3 (трёх) экземплярах, а также электронные версии Акта </w:t>
              <w:br/>
              <w:t>КС-2 и Справки КС-3 в формате *gsfx ПК «ГРАНД Сметы» на цифровом носителе) исполнительную документацию в электронном виде (в формате *.pdf) и на бумажном носителе в 3-х экземплярах. Исполнительная документация должна быть оформлена в соответствии с Приказом Минстроя и ЖКХ РФ №344/пр от 16.05.2023 г.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</w:t>
            </w:r>
            <w:r>
              <w:rPr>
                <w:sz w:val="21"/>
                <w:szCs w:val="21"/>
              </w:rPr>
              <w:t xml:space="preserve">, </w:t>
            </w:r>
            <w:r>
              <w:rPr>
                <w:sz w:val="21"/>
                <w:szCs w:val="21"/>
                <w:highlight w:val="white"/>
              </w:rPr>
              <w:t>Положением «Об организации контроля и приемке выполненных работ на ремонтируемых объектах, объектах модернизации, реконструкции и технического перевооружения. Определение эффективности воздействия на оборудование АО «ДГК». 21-003-2019»</w:t>
            </w:r>
            <w:r>
              <w:rPr>
                <w:sz w:val="21"/>
                <w:szCs w:val="21"/>
              </w:rPr>
              <w:t xml:space="preserve"> (Приложение №5 к ТТ).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2"/>
                <w:numId w:val="22"/>
              </w:numPr>
              <w:spacing w:before="60" w:after="60"/>
              <w:ind w:left="34" w:hanging="0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Cs/>
                <w:highlight w:val="white"/>
              </w:rPr>
            </w:pPr>
            <w:r>
              <w:rPr>
                <w:rFonts w:eastAsia="Calibri"/>
                <w:sz w:val="22"/>
                <w:szCs w:val="22"/>
                <w:highlight w:val="white"/>
              </w:rPr>
              <w:t>Состав документации включает в себя, но не ограничивается, следующие документы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>акт пред. ремонтного обследования объекта;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>ведомость планируемых ремонтно-строительных работ;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>акт готовности объекта к производству ремонтных работ;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>акт приёмки из ремонта объекта;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>акт освидетельствования скрытых работ;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>исполнительные чертежи, схемы;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>счета-фактуры на материалы, закупаемые Подрядчиком для использования в процессе ремонта;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>общий журнал работ, специальные журналы работ (соответствующие видам выполняемых работ);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9"/>
              </w:tabs>
              <w:spacing w:before="0" w:after="60"/>
              <w:ind w:left="310" w:hanging="283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r>
              <w:rPr>
                <w:sz w:val="21"/>
                <w:szCs w:val="21"/>
                <w:highlight w:val="white"/>
              </w:rPr>
              <w:t>документы о контроле качества сварных соединений, оформленных в соответствии с Регламентом оформления документации при проведении сварочных работ при монтаже и ремонте оборудования объектов АО «ДГК»;</w:t>
            </w:r>
          </w:p>
          <w:p>
            <w:pPr>
              <w:pStyle w:val="Normal"/>
              <w:widowControl w:val="false"/>
              <w:spacing w:before="0" w:after="60"/>
              <w:ind w:left="0" w:hanging="0"/>
              <w:contextualSpacing/>
              <w:jc w:val="both"/>
              <w:rPr>
                <w:sz w:val="21"/>
                <w:szCs w:val="21"/>
                <w:highlight w:val="white"/>
                <w14:ligatures w14:val="none"/>
              </w:rPr>
            </w:pPr>
            <w:bookmarkStart w:id="50" w:name="undefined"/>
            <w:r>
              <w:rPr>
                <w:sz w:val="21"/>
                <w:szCs w:val="21"/>
                <w:highlight w:val="white"/>
              </w:rPr>
              <w:t xml:space="preserve">Более подробно требования к оформлению документации  указаны в проекте договора подряда (в том числе в разделах №2, </w:t>
            </w:r>
            <w:bookmarkEnd w:id="50"/>
            <w:r>
              <w:rPr>
                <w:sz w:val="21"/>
                <w:szCs w:val="21"/>
                <w:highlight w:val="white"/>
              </w:rPr>
              <w:t>4), который включен в состав Документации о закупке – приложение №2.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2"/>
              </w:numPr>
              <w:spacing w:before="60" w:after="60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40" w:after="60"/>
              <w:contextualSpacing/>
              <w:rPr/>
            </w:pPr>
            <w:r>
              <w:rPr>
                <w:b/>
                <w:sz w:val="22"/>
                <w:szCs w:val="22"/>
                <w:highlight w:val="white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ind w:firstLine="425"/>
              <w:contextualSpacing/>
              <w:jc w:val="both"/>
              <w:rPr/>
            </w:pPr>
            <w:r>
              <w:rPr>
                <w:bCs/>
                <w:sz w:val="22"/>
                <w:szCs w:val="22"/>
                <w:highlight w:val="white"/>
              </w:rPr>
              <w:t>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 (утверждены Постановлением Правительства РФ от 28 мая 2021 г. N815);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/>
            </w:pPr>
            <w:r>
              <w:rPr>
                <w:bCs/>
                <w:sz w:val="22"/>
                <w:szCs w:val="22"/>
                <w:highlight w:val="white"/>
              </w:rPr>
              <w:t>Федеральный законом «О техническом регулировании» №184- ФЗ от 27.12.2002;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60" w:after="60"/>
              <w:contextualSpacing/>
              <w:jc w:val="both"/>
              <w:rPr>
                <w:b/>
                <w:bCs/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szCs w:val="22"/>
                <w:highlight w:val="white"/>
              </w:rPr>
              <w:t>"Правила промышленной безопасности при использовании оборудования, работающего под избыточным давлением"</w:t>
            </w:r>
            <w:r>
              <w:rPr>
                <w:rStyle w:val="FontStyle17"/>
                <w:color w:val="000000" w:themeColor="text1"/>
                <w:sz w:val="22"/>
                <w:szCs w:val="22"/>
                <w:highlight w:val="white"/>
              </w:rPr>
              <w:t xml:space="preserve"> утвержденные приказом Федеральной службой по экологическому, технологическому и атомному надзору от 15.12.2020 г. №536</w:t>
            </w:r>
            <w:r>
              <w:rPr>
                <w:rStyle w:val="FontStyle17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2"/>
              </w:numPr>
              <w:spacing w:before="60" w:after="60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20" w:after="60"/>
              <w:jc w:val="both"/>
              <w:rPr/>
            </w:pPr>
            <w:r>
              <w:rPr>
                <w:b/>
                <w:sz w:val="22"/>
                <w:szCs w:val="22"/>
                <w:highlight w:val="white"/>
              </w:rPr>
              <w:t>Требования к ответственности и гарантиям подрядчика</w:t>
            </w:r>
          </w:p>
          <w:p>
            <w:pPr>
              <w:pStyle w:val="Normal"/>
              <w:widowControl w:val="false"/>
              <w:ind w:firstLine="425"/>
              <w:rPr>
                <w:b/>
                <w:bCs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>Подробно требования к ответственности</w:t>
            </w:r>
            <w:r>
              <w:rPr>
                <w:b/>
                <w:sz w:val="22"/>
                <w:szCs w:val="22"/>
                <w:highlight w:val="white"/>
              </w:rPr>
              <w:t xml:space="preserve">, 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>сроку и объему предоставления гарантий указаны в проекте договора подряда (в том числе в разделах №6 и №7), который включен в состав Документации о закупке</w:t>
            </w:r>
            <w:r>
              <w:rPr>
                <w:rFonts w:eastAsia="Calibri"/>
                <w:bCs/>
                <w:sz w:val="22"/>
                <w:szCs w:val="22"/>
              </w:rPr>
              <w:t xml:space="preserve"> – приложение №2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>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</w:r>
          </w:p>
        </w:tc>
      </w:tr>
      <w:tr>
        <w:trPr>
          <w:trHeight w:val="948" w:hRule="atLeast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2"/>
              </w:numPr>
              <w:spacing w:before="60" w:after="60"/>
              <w:contextualSpacing/>
              <w:jc w:val="center"/>
              <w:rPr>
                <w:rFonts w:eastAsia="Calibri"/>
                <w:highlight w:val="white"/>
              </w:rPr>
            </w:pPr>
            <w:r>
              <w:rPr>
                <w:rFonts w:eastAsia="Calibri"/>
                <w:highlight w:val="white"/>
              </w:rPr>
            </w:r>
          </w:p>
        </w:tc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pacing w:before="60" w:after="60"/>
              <w:contextualSpacing/>
              <w:rPr/>
            </w:pPr>
            <w:r>
              <w:rPr>
                <w:b/>
                <w:sz w:val="22"/>
                <w:szCs w:val="22"/>
                <w:highlight w:val="white"/>
              </w:rPr>
              <w:t>Требования к подрядчику (и субподрядчикам) и его обязательствам, влияющим на исполнение договора</w:t>
            </w:r>
          </w:p>
          <w:p>
            <w:pPr>
              <w:pStyle w:val="Normal"/>
              <w:widowControl w:val="false"/>
              <w:spacing w:before="0" w:after="60"/>
              <w:ind w:firstLine="425"/>
              <w:contextualSpacing/>
              <w:rPr/>
            </w:pPr>
            <w:r>
              <w:rPr>
                <w:sz w:val="22"/>
                <w:szCs w:val="22"/>
                <w:highlight w:val="white"/>
              </w:rPr>
              <w:t>Требования к субподрядным организациям, привлекаемым к выполнению работ: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pacing w:before="0" w:after="60"/>
              <w:contextualSpacing/>
              <w:rPr>
                <w:b/>
                <w:bCs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Подробно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eastAsia="Calibri"/>
                <w:bCs/>
                <w:sz w:val="22"/>
                <w:szCs w:val="22"/>
              </w:rPr>
              <w:t xml:space="preserve"> – приложение №2.</w:t>
            </w:r>
          </w:p>
        </w:tc>
        <w:tc>
          <w:tcPr>
            <w:tcW w:w="18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</w:tr>
      <w:tr>
        <w:trPr>
          <w:trHeight w:val="948" w:hRule="atLeast"/>
        </w:trPr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22"/>
              </w:numPr>
              <w:tabs>
                <w:tab w:val="clear" w:pos="709"/>
                <w:tab w:val="left" w:pos="0" w:leader="none"/>
              </w:tabs>
              <w:jc w:val="center"/>
              <w:rPr>
                <w:b/>
                <w:bCs/>
                <w:sz w:val="24"/>
                <w:szCs w:val="24"/>
                <w14:ligatures w14:val="none"/>
              </w:rPr>
            </w:pPr>
            <w:r>
              <w:rPr>
                <w:b/>
                <w:bCs/>
                <w:sz w:val="24"/>
                <w:szCs w:val="24"/>
                <w14:ligatures w14:val="none"/>
              </w:rPr>
            </w:r>
          </w:p>
        </w:tc>
        <w:tc>
          <w:tcPr>
            <w:tcW w:w="13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Требования к победителю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Times New Roman" w:cs="Times New Roman"/>
                <w:sz w:val="22"/>
                <w:szCs w:val="22"/>
              </w:rPr>
              <w:t xml:space="preserve">Участник, признанный </w:t>
            </w: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победителем</w:t>
            </w:r>
            <w:r>
              <w:rPr>
                <w:rFonts w:eastAsia="Times New Roman" w:cs="Times New Roman"/>
                <w:sz w:val="22"/>
                <w:szCs w:val="22"/>
              </w:rPr>
              <w:t xml:space="preserve"> закупочной процедуры, в течение </w:t>
            </w:r>
            <w:r>
              <w:rPr>
                <w:rFonts w:eastAsia="Times New Roman" w:cs="Times New Roman"/>
                <w:b/>
                <w:bCs/>
                <w:sz w:val="22"/>
                <w:szCs w:val="22"/>
                <w:u w:val="single"/>
              </w:rPr>
              <w:t xml:space="preserve">5 (пяти) рабочих дней </w:t>
            </w:r>
            <w:r>
              <w:rPr>
                <w:rFonts w:eastAsia="Times New Roman" w:cs="Times New Roman"/>
                <w:sz w:val="22"/>
                <w:szCs w:val="22"/>
              </w:rPr>
              <w:t xml:space="preserve">после размещения протокола подведения итогов закупки на сайте </w:t>
            </w:r>
            <w:hyperlink r:id="rId5" w:tgtFrame="http://www.zakupki.gov.ru">
              <w:r>
                <w:rPr>
                  <w:rStyle w:val="Hyperlink"/>
                  <w:rFonts w:eastAsia="Times New Roman" w:cs="Times New Roman"/>
                  <w:sz w:val="22"/>
                  <w:szCs w:val="22"/>
                </w:rPr>
                <w:t>www.zakupki.gov.ru</w:t>
              </w:r>
            </w:hyperlink>
            <w:r>
              <w:rPr>
                <w:rFonts w:eastAsia="Times New Roman" w:cs="Times New Roman"/>
                <w:sz w:val="22"/>
                <w:szCs w:val="22"/>
              </w:rPr>
              <w:t xml:space="preserve"> (до заключения договора), должен предоставить в адрес Заказчика на электронный адрес</w:t>
            </w:r>
            <w:r>
              <w:rPr>
                <w:rFonts w:eastAsia="Times New Roman" w:cs="Times New Roman"/>
                <w:sz w:val="22"/>
                <w:szCs w:val="22"/>
                <w:highlight w:val="white"/>
              </w:rPr>
              <w:t xml:space="preserve"> (</w:t>
            </w:r>
            <w:hyperlink r:id="rId6" w:tgtFrame="Click to mail Чувашев Вадим Борисович &lt;chuvashev-vb@dgk.ru&gt;">
              <w:r>
                <w:rPr>
                  <w:rStyle w:val="Hyperlink"/>
                  <w:rFonts w:eastAsia="Times New Roman" w:cs="Times New Roman"/>
                  <w:color w:val="0000EE"/>
                  <w:sz w:val="22"/>
                  <w:szCs w:val="22"/>
                  <w:highlight w:val="white"/>
                  <w:u w:val="single"/>
                </w:rPr>
                <w:t>chuvashev-vb@dgk.ru</w:t>
              </w:r>
            </w:hyperlink>
            <w:r>
              <w:rPr>
                <w:rFonts w:eastAsia="Times New Roman" w:cs="Times New Roman"/>
                <w:sz w:val="22"/>
                <w:szCs w:val="22"/>
                <w:highlight w:val="white"/>
              </w:rPr>
              <w:t xml:space="preserve">) </w:t>
            </w:r>
            <w:r>
              <w:rPr>
                <w:rFonts w:eastAsia="Times New Roman" w:cs="Times New Roman"/>
                <w:sz w:val="22"/>
                <w:szCs w:val="22"/>
              </w:rPr>
              <w:t>дополнительные документы.</w:t>
            </w:r>
          </w:p>
          <w:p>
            <w:pPr>
              <w:pStyle w:val="Normal"/>
              <w:widowControl w:val="false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</w:p>
        </w:tc>
      </w:tr>
      <w:tr>
        <w:trPr>
          <w:trHeight w:val="948" w:hRule="atLeast"/>
        </w:trPr>
        <w:tc>
          <w:tcPr>
            <w:tcW w:w="15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9"/>
              <w:widowControl w:val="false"/>
              <w:shd w:val="clear" w:color="auto" w:fill="FFFFFF" w:themeFill="background1"/>
              <w:spacing w:before="0" w:after="0"/>
              <w:ind w:left="0" w:right="0" w:hanging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Победитель  должен иметь в наличии:</w:t>
            </w:r>
          </w:p>
          <w:p>
            <w:pPr>
              <w:pStyle w:val="Normal"/>
              <w:widowControl w:val="false"/>
              <w:spacing w:lineRule="auto" w:line="240" w:before="0" w:after="0"/>
              <w:ind w:left="0" w:right="141" w:hanging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1) н</w:t>
            </w:r>
            <w:r>
              <w:rPr>
                <w:rFonts w:eastAsia="Times New Roman" w:cs="Times New Roman"/>
                <w:sz w:val="22"/>
                <w:szCs w:val="22"/>
                <w:lang w:val="ru-RU" w:eastAsia="en-US" w:bidi="ru-RU"/>
              </w:rPr>
              <w:t>е менее</w:t>
            </w:r>
            <w:r>
              <w:rPr>
                <w:rFonts w:eastAsia="Times New Roman" w:cs="Times New Roman"/>
                <w:sz w:val="22"/>
                <w:szCs w:val="22"/>
                <w:lang w:val="ru-RU" w:eastAsia="en-US" w:bidi="ar-SA"/>
              </w:rPr>
              <w:t xml:space="preserve"> у 3-х человек (руководитель, производитель работ и всех членов бригады) документы проверки знаний требований охраны труда, допуска работы на высоте.</w:t>
            </w:r>
          </w:p>
        </w:tc>
        <w:tc>
          <w:tcPr>
            <w:tcW w:w="6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2" w:right="141" w:hanging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Победитель должен предоставить:</w:t>
            </w:r>
          </w:p>
          <w:p>
            <w:pPr>
              <w:pStyle w:val="Normal"/>
              <w:widowControl w:val="false"/>
              <w:ind w:left="0" w:right="64" w:firstLine="567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highlight w:val="white"/>
              </w:rPr>
              <w:t>1) Согласно требования п.92 Постановления правительства Российской федерации от 24.12.2021 г.№2464 «О порядке обучения по охране труда и проверки знаний требований охраны труда» предоставить:</w:t>
            </w:r>
          </w:p>
          <w:p>
            <w:pPr>
              <w:pStyle w:val="Normal"/>
              <w:widowControl w:val="false"/>
              <w:ind w:left="0" w:right="64" w:firstLine="567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- копию протокола (-ов) проверки знания требований охраны труда обученных лиц, не менее чем на 3 человек, (руководитель, производитель работ и всех членов бригады), которые будут непосредственно на объектах выполнять работы по Наряду-допуску</w:t>
            </w:r>
          </w:p>
          <w:p>
            <w:pPr>
              <w:pStyle w:val="Normal"/>
              <w:widowControl w:val="false"/>
              <w:ind w:left="0" w:right="64" w:firstLine="567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highlight w:val="white"/>
              </w:rPr>
              <w:t>2) На основании п.13, п. 14, п.15 Правил по охране труда при работе на высоте, утвержденных Министерством труда и социальной защиты Российской Федерации от 16.11.2020  № 782Н предоставить:</w:t>
            </w:r>
          </w:p>
          <w:p>
            <w:pPr>
              <w:pStyle w:val="Normal"/>
              <w:widowControl w:val="false"/>
              <w:ind w:left="0" w:right="64" w:firstLine="567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highlight w:val="white"/>
              </w:rPr>
              <w:t>- документы подтверждающие получение профессионального образования (обучении) и (или) о квалификации, подтверждающие наличие допуска к работе на высоте у производителя и членов бригады (не ниже 2 группы), и руководителя работ (не ниже 3 группы).</w:t>
            </w:r>
          </w:p>
        </w:tc>
      </w:tr>
    </w:tbl>
    <w:p>
      <w:pPr>
        <w:sectPr>
          <w:headerReference w:type="default" r:id="rId7"/>
          <w:headerReference w:type="first" r:id="rId8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1"/>
        <w:numPr>
          <w:ilvl w:val="0"/>
          <w:numId w:val="1"/>
        </w:numPr>
        <w:ind w:left="0" w:hanging="0"/>
        <w:jc w:val="center"/>
        <w:rPr>
          <w:highlight w:val="white"/>
        </w:rPr>
      </w:pPr>
      <w:bookmarkStart w:id="51" w:name="_Toc139017639"/>
      <w:bookmarkStart w:id="52" w:name="_Toc53393312"/>
      <w:bookmarkStart w:id="53" w:name="_Toc54646411"/>
      <w:bookmarkStart w:id="54" w:name="_Toc129956751"/>
      <w:r>
        <w:rPr>
          <w:highlight w:val="white"/>
        </w:rPr>
        <w:t>Требования к документации по ценообразованию</w:t>
      </w:r>
      <w:bookmarkEnd w:id="52"/>
      <w:bookmarkEnd w:id="53"/>
      <w:bookmarkEnd w:id="54"/>
      <w:r>
        <w:rPr>
          <w:highlight w:val="white"/>
        </w:rPr>
        <w:t xml:space="preserve"> на этапе закупки</w:t>
      </w:r>
      <w:bookmarkEnd w:id="51"/>
    </w:p>
    <w:p>
      <w:pPr>
        <w:pStyle w:val="Normal"/>
        <w:rPr>
          <w:highlight w:val="white"/>
        </w:rPr>
      </w:pPr>
      <w:r>
        <w:rPr>
          <w:highlight w:val="white"/>
        </w:rPr>
      </w:r>
    </w:p>
    <w:p>
      <w:pPr>
        <w:pStyle w:val="Normal"/>
        <w:spacing w:lineRule="auto" w:line="360"/>
        <w:jc w:val="both"/>
        <w:rPr>
          <w:rFonts w:eastAsia="Calibri"/>
          <w:sz w:val="24"/>
          <w:szCs w:val="24"/>
          <w:highlight w:val="white"/>
          <w14:ligatures w14:val="none"/>
        </w:rPr>
      </w:pPr>
      <w:bookmarkStart w:id="55" w:name="_Toc139017640"/>
      <w:bookmarkStart w:id="56" w:name="_Toc127264349"/>
      <w:bookmarkStart w:id="57" w:name="_Toc127364999"/>
      <w:bookmarkStart w:id="58" w:name="_Toc129956752"/>
      <w:bookmarkStart w:id="59" w:name="_Toc127261028"/>
      <w:r>
        <w:rPr>
          <w:b/>
          <w:sz w:val="24"/>
          <w:szCs w:val="24"/>
          <w:highlight w:val="white"/>
        </w:rPr>
        <w:t>3.1.</w:t>
      </w:r>
      <w:bookmarkEnd w:id="59"/>
      <w:r>
        <w:rPr>
          <w:sz w:val="24"/>
          <w:szCs w:val="24"/>
          <w:highlight w:val="white"/>
        </w:rPr>
        <w:t xml:space="preserve"> </w:t>
      </w:r>
      <w:bookmarkEnd w:id="56"/>
      <w:bookmarkEnd w:id="57"/>
      <w:bookmarkEnd w:id="58"/>
      <w:r>
        <w:rPr>
          <w:rFonts w:eastAsia="Calibri"/>
          <w:sz w:val="24"/>
          <w:szCs w:val="24"/>
          <w:highlight w:val="white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</w:t>
      </w:r>
      <w:bookmarkEnd w:id="55"/>
    </w:p>
    <w:p>
      <w:pPr>
        <w:pStyle w:val="Normal"/>
        <w:spacing w:lineRule="auto" w:line="360"/>
        <w:jc w:val="both"/>
        <w:rPr>
          <w:rFonts w:eastAsia="Calibri"/>
          <w:sz w:val="24"/>
          <w:szCs w:val="24"/>
          <w:highlight w:val="white"/>
          <w14:ligatures w14:val="none"/>
        </w:rPr>
      </w:pPr>
      <w:r>
        <w:rPr>
          <w:rFonts w:eastAsia="Calibri"/>
          <w:sz w:val="24"/>
          <w:szCs w:val="24"/>
          <w:highlight w:val="white"/>
        </w:rPr>
        <w:t>Стоимость предложений участников определяется по формуле:</w:t>
      </w:r>
    </w:p>
    <w:p>
      <w:pPr>
        <w:pStyle w:val="Normal"/>
        <w:spacing w:lineRule="auto" w:line="360"/>
        <w:jc w:val="both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>P=N*k,</w:t>
      </w:r>
    </w:p>
    <w:p>
      <w:pPr>
        <w:pStyle w:val="Normal"/>
        <w:spacing w:lineRule="auto" w:line="360"/>
        <w:jc w:val="both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>где P – стоимость предложения участника;</w:t>
      </w:r>
    </w:p>
    <w:p>
      <w:pPr>
        <w:pStyle w:val="Normal"/>
        <w:spacing w:lineRule="auto" w:line="360"/>
        <w:jc w:val="both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>N – начальная (максимальная) цена договора, определенная в соответствии со сметной документацией Заказчика, приведенной в приложении №4 к настоящим Техническим требованиям;</w:t>
      </w:r>
    </w:p>
    <w:p>
      <w:pPr>
        <w:pStyle w:val="Normal"/>
        <w:spacing w:lineRule="auto" w:line="360"/>
        <w:jc w:val="both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>k – понижающий коэффициент, заявленный участником в коммерческом предложении (точность понижающего коэффициента указывается до 7 знаков после запятой).</w:t>
      </w:r>
    </w:p>
    <w:p>
      <w:pPr>
        <w:pStyle w:val="Normal"/>
        <w:spacing w:lineRule="auto" w:line="360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</w:p>
    <w:p>
      <w:pPr>
        <w:pStyle w:val="Heading4"/>
        <w:numPr>
          <w:ilvl w:val="0"/>
          <w:numId w:val="0"/>
        </w:numPr>
        <w:spacing w:lineRule="auto" w:line="360"/>
        <w:ind w:left="0" w:hanging="0"/>
        <w:rPr>
          <w:highlight w:val="white"/>
        </w:rPr>
      </w:pPr>
      <w:bookmarkStart w:id="60" w:name="_Toc127261030"/>
      <w:bookmarkStart w:id="61" w:name="_Toc127264350"/>
      <w:bookmarkStart w:id="62" w:name="_Toc127365000"/>
      <w:bookmarkStart w:id="63" w:name="_Toc129956753"/>
      <w:bookmarkStart w:id="64" w:name="_Toc139017641"/>
      <w:r>
        <w:rPr>
          <w:b/>
          <w:highlight w:val="white"/>
        </w:rPr>
        <w:t>3.2.</w:t>
      </w:r>
      <w:r>
        <w:rPr>
          <w:highlight w:val="white"/>
        </w:rPr>
        <w:t xml:space="preserve"> Дополнительные документы по ценообразованию (сметная документация) в состав заявки Участника не включаются.</w:t>
      </w:r>
      <w:bookmarkEnd w:id="60"/>
      <w:bookmarkEnd w:id="61"/>
      <w:bookmarkEnd w:id="62"/>
      <w:bookmarkEnd w:id="63"/>
      <w:bookmarkEnd w:id="64"/>
    </w:p>
    <w:p>
      <w:pPr>
        <w:pStyle w:val="Normal"/>
        <w:rPr>
          <w:highlight w:val="white"/>
        </w:rPr>
      </w:pPr>
      <w:r>
        <w:rPr>
          <w:highlight w:val="white"/>
        </w:rPr>
      </w:r>
      <w:r>
        <w:br w:type="page"/>
      </w:r>
    </w:p>
    <w:p>
      <w:pPr>
        <w:pStyle w:val="Heading1"/>
        <w:numPr>
          <w:ilvl w:val="0"/>
          <w:numId w:val="1"/>
        </w:numPr>
        <w:ind w:left="567" w:hanging="567"/>
        <w:jc w:val="center"/>
        <w:rPr>
          <w:highlight w:val="white"/>
        </w:rPr>
      </w:pPr>
      <w:bookmarkStart w:id="65" w:name="_Toc54646412"/>
      <w:bookmarkStart w:id="66" w:name="_Toc129956755"/>
      <w:bookmarkStart w:id="67" w:name="_Toc139017642"/>
      <w:r>
        <w:rPr>
          <w:highlight w:val="white"/>
        </w:rPr>
        <w:t>Требования к документации по ценообразованию на этапе заключения (исполнения) договора</w:t>
      </w:r>
      <w:bookmarkEnd w:id="65"/>
      <w:bookmarkEnd w:id="66"/>
      <w:bookmarkEnd w:id="67"/>
    </w:p>
    <w:p>
      <w:pPr>
        <w:pStyle w:val="Heading4"/>
        <w:numPr>
          <w:ilvl w:val="1"/>
          <w:numId w:val="37"/>
        </w:numPr>
        <w:spacing w:lineRule="auto" w:line="276" w:before="120" w:after="60"/>
        <w:contextualSpacing/>
        <w:jc w:val="left"/>
        <w:rPr>
          <w:highlight w:val="white"/>
        </w:rPr>
      </w:pPr>
      <w:bookmarkStart w:id="68" w:name="_Toc139017643"/>
      <w:r>
        <w:rPr>
          <w:highlight w:val="white"/>
        </w:rPr>
        <w:t>Требования к составлению сметной документации (при заключении договора):</w:t>
      </w:r>
      <w:bookmarkEnd w:id="68"/>
    </w:p>
    <w:p>
      <w:pPr>
        <w:pStyle w:val="Heading3"/>
        <w:numPr>
          <w:ilvl w:val="2"/>
          <w:numId w:val="38"/>
        </w:numPr>
        <w:spacing w:lineRule="auto" w:line="276" w:before="120" w:after="60"/>
        <w:ind w:left="0" w:firstLine="720"/>
        <w:contextualSpacing/>
        <w:jc w:val="left"/>
        <w:rPr>
          <w:highlight w:val="white"/>
        </w:rPr>
      </w:pPr>
      <w:bookmarkStart w:id="69" w:name="_Toc139017644"/>
      <w:r>
        <w:rPr>
          <w:highlight w:val="white"/>
        </w:rPr>
        <w:t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№1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локальной смете единым индексом в итогах.</w:t>
      </w:r>
      <w:bookmarkEnd w:id="69"/>
    </w:p>
    <w:p>
      <w:pPr>
        <w:pStyle w:val="Heading3"/>
        <w:numPr>
          <w:ilvl w:val="2"/>
          <w:numId w:val="39"/>
        </w:numPr>
        <w:spacing w:lineRule="auto" w:line="276" w:before="120" w:after="60"/>
        <w:ind w:left="0" w:firstLine="720"/>
        <w:contextualSpacing/>
        <w:jc w:val="left"/>
        <w:rPr>
          <w:bCs/>
          <w:highlight w:val="white"/>
        </w:rPr>
      </w:pPr>
      <w:bookmarkStart w:id="70" w:name="_Toc139017645"/>
      <w:r>
        <w:rPr>
          <w:bCs/>
          <w:highlight w:val="white"/>
        </w:rPr>
        <w:t>Внесение изменений в сметную документацию заказчика, кроме применения понижающего коэффициента в соответствии с п.4.1.1, не допускается.</w:t>
      </w:r>
      <w:bookmarkEnd w:id="70"/>
    </w:p>
    <w:p>
      <w:pPr>
        <w:pStyle w:val="Heading4"/>
        <w:numPr>
          <w:ilvl w:val="1"/>
          <w:numId w:val="40"/>
        </w:numPr>
        <w:spacing w:lineRule="auto" w:line="276" w:before="120" w:after="60"/>
        <w:contextualSpacing/>
        <w:jc w:val="left"/>
        <w:rPr>
          <w:highlight w:val="white"/>
        </w:rPr>
      </w:pPr>
      <w:bookmarkStart w:id="71" w:name="_Toc139017647"/>
      <w:r>
        <w:rPr>
          <w:highlight w:val="white"/>
        </w:rPr>
        <w:t>Требования к составлению сметной документации (на этапе исполнения договора):</w:t>
      </w:r>
      <w:bookmarkEnd w:id="71"/>
    </w:p>
    <w:p>
      <w:pPr>
        <w:pStyle w:val="Heading3"/>
        <w:numPr>
          <w:ilvl w:val="2"/>
          <w:numId w:val="41"/>
        </w:numPr>
        <w:spacing w:lineRule="auto" w:line="276" w:before="120" w:after="60"/>
        <w:ind w:left="0" w:firstLine="720"/>
        <w:contextualSpacing/>
        <w:jc w:val="left"/>
        <w:rPr>
          <w:highlight w:val="white"/>
        </w:rPr>
      </w:pPr>
      <w:r>
        <w:rPr>
          <w:highlight w:val="white"/>
        </w:rPr>
        <w:t xml:space="preserve">В случае возникновения непредвиденных расходов в рамках реализации договора необходимо составлять и оформлять </w:t>
      </w:r>
      <w:bookmarkStart w:id="72" w:name="_Hlk67324513"/>
      <w:r>
        <w:rPr>
          <w:highlight w:val="white"/>
        </w:rPr>
        <w:t xml:space="preserve">сметную документацию в обоснование данных затрат в соответствии с требованиями, указанными в приложении № 1 к настоящим Техническим требованиям, с применением понижающего коэффициента, определенного по результатам конкурентной процедуры </w:t>
      </w:r>
      <w:bookmarkEnd w:id="72"/>
      <w:r>
        <w:rPr>
          <w:highlight w:val="white"/>
        </w:rPr>
        <w:t>(п. 4.1.1). 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</w:t>
      </w:r>
    </w:p>
    <w:p>
      <w:pPr>
        <w:pStyle w:val="Normal"/>
        <w:spacing w:lineRule="auto" w:line="276" w:before="0" w:after="0"/>
        <w:contextualSpacing/>
        <w:rPr>
          <w:highlight w:val="white"/>
        </w:rPr>
      </w:pPr>
      <w:r>
        <w:rPr>
          <w:highlight w:val="white"/>
        </w:rPr>
      </w:r>
    </w:p>
    <w:p>
      <w:pPr>
        <w:pStyle w:val="Heading1"/>
        <w:numPr>
          <w:ilvl w:val="0"/>
          <w:numId w:val="1"/>
        </w:numPr>
        <w:rPr>
          <w:caps/>
          <w:highlight w:val="white"/>
        </w:rPr>
      </w:pPr>
      <w:bookmarkStart w:id="73" w:name="_Toc129956760"/>
      <w:bookmarkStart w:id="74" w:name="_Toc139017650"/>
      <w:bookmarkStart w:id="75" w:name="_Toc54646413"/>
      <w:bookmarkStart w:id="76" w:name="_Toc46743519"/>
      <w:bookmarkStart w:id="77" w:name="_Toc51339699"/>
      <w:r>
        <w:rPr>
          <w:highlight w:val="white"/>
        </w:rPr>
        <w:t>Приложения</w:t>
      </w:r>
      <w:bookmarkEnd w:id="73"/>
      <w:bookmarkEnd w:id="74"/>
      <w:bookmarkEnd w:id="75"/>
      <w:bookmarkEnd w:id="76"/>
      <w:bookmarkEnd w:id="77"/>
    </w:p>
    <w:p>
      <w:pPr>
        <w:pStyle w:val="Normal"/>
        <w:keepNext w:val="true"/>
        <w:keepLines/>
        <w:spacing w:before="0" w:after="120"/>
        <w:rPr>
          <w:rStyle w:val="Style11"/>
          <w:b w:val="false"/>
          <w:bCs/>
          <w:iCs/>
          <w:sz w:val="24"/>
          <w:szCs w:val="24"/>
          <w:highlight w:val="white"/>
        </w:rPr>
      </w:pPr>
      <w:r>
        <w:rPr>
          <w:b w:val="false"/>
          <w:bCs/>
          <w:iCs/>
          <w:sz w:val="24"/>
          <w:szCs w:val="24"/>
          <w:highlight w:val="white"/>
        </w:rPr>
      </w:r>
    </w:p>
    <w:p>
      <w:pPr>
        <w:pStyle w:val="Normal"/>
        <w:spacing w:lineRule="auto" w:line="259" w:before="0" w:after="160"/>
        <w:ind w:left="360" w:hanging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№1 – Требования к оформлению и составлению документации по ценообразованию.</w:t>
      </w:r>
    </w:p>
    <w:p>
      <w:pPr>
        <w:pStyle w:val="Normal"/>
        <w:spacing w:lineRule="auto" w:line="259" w:before="0" w:after="160"/>
        <w:ind w:left="360" w:hanging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№2 – Ведомость объёмов работ.</w:t>
      </w:r>
    </w:p>
    <w:p>
      <w:pPr>
        <w:pStyle w:val="Normal"/>
        <w:spacing w:lineRule="auto" w:line="259" w:before="0" w:after="160"/>
        <w:ind w:left="360" w:hanging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№3 - Ведомость материалов Подрядчика.</w:t>
      </w:r>
    </w:p>
    <w:p>
      <w:pPr>
        <w:pStyle w:val="Normal"/>
        <w:spacing w:lineRule="auto" w:line="259" w:before="0" w:after="160"/>
        <w:ind w:left="360" w:hanging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№4 – Сводный сметный расчёт с локальными сметными расчётами.</w:t>
      </w:r>
    </w:p>
    <w:p>
      <w:pPr>
        <w:pStyle w:val="Normal"/>
        <w:spacing w:lineRule="auto" w:line="259" w:before="0" w:after="160"/>
        <w:ind w:left="360" w:hanging="0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>Приложение №5 – Локальные нормативные акты Заказчика.</w:t>
      </w:r>
    </w:p>
    <w:sectPr>
      <w:headerReference w:type="default" r:id="rId9"/>
      <w:headerReference w:type="first" r:id="rId10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/>
                            <w:fldChar w:fldCharType="begin"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0</w:t>
                          </w:r>
                          <w:r>
                            <w:rPr/>
                            <w:fldChar w:fldCharType="end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0</w:t>
                          </w:r>
                          <w:r>
                            <w:rPr/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36360" rIns="36360" tIns="-21240" bIns="-2124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0</w:t>
                    </w:r>
                    <w:r>
                      <w:rPr/>
                      <w:fldChar w:fldCharType="end"/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17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16</w:t>
    </w:r>
    <w:r>
      <w:rPr/>
      <w:fldChar w:fldCharType="end"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3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right"/>
      <w:pPr>
        <w:tabs>
          <w:tab w:val="num" w:pos="0"/>
        </w:tabs>
        <w:ind w:left="70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8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6" w:hanging="504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1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lvl w:ilvl="0">
      <w:start w:val="1"/>
      <w:numFmt w:val="bullet"/>
      <w:lvlText w:val=""/>
      <w:lvlJc w:val="left"/>
      <w:pPr>
        <w:tabs>
          <w:tab w:val="num" w:pos="0"/>
        </w:tabs>
        <w:ind w:left="11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36" w:hanging="360"/>
      </w:pPr>
      <w:rPr>
        <w:rFonts w:ascii="Wingdings" w:hAnsi="Wingdings" w:cs="Wingdings" w:hint="default"/>
      </w:rPr>
    </w:lvl>
  </w:abstractNum>
  <w:abstractNum w:abstractNumId="26">
    <w:lvl w:ilvl="0">
      <w:start w:val="1"/>
      <w:numFmt w:val="bullet"/>
      <w:lvlText w:val=""/>
      <w:lvlJc w:val="left"/>
      <w:pPr>
        <w:tabs>
          <w:tab w:val="num" w:pos="0"/>
        </w:tabs>
        <w:ind w:left="11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36" w:hanging="360"/>
      </w:pPr>
      <w:rPr>
        <w:rFonts w:ascii="Wingdings" w:hAnsi="Wingdings" w:cs="Wingdings" w:hint="default"/>
      </w:rPr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num" w:pos="0"/>
          </w:tabs>
          <w:ind w:left="1728" w:hanging="648"/>
        </w:pPr>
        <w:rPr/>
      </w:lvl>
    </w:lvlOverride>
    <w:lvlOverride w:ilvl="3">
      <w:startOverride w:val="1"/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num" w:pos="0"/>
          </w:tabs>
          <w:ind w:left="2232" w:hanging="792"/>
        </w:pPr>
        <w:rPr/>
      </w:lvl>
    </w:lvlOverride>
    <w:lvlOverride w:ilvl="4">
      <w:startOverride w:val="1"/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num" w:pos="0"/>
          </w:tabs>
          <w:ind w:left="2736" w:hanging="936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num" w:pos="0"/>
          </w:tabs>
          <w:ind w:left="3240" w:hanging="1080"/>
        </w:pPr>
        <w:rPr/>
      </w:lvl>
    </w:lvlOverride>
    <w:lvlOverride w:ilvl="6">
      <w:startOverride w:val="1"/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num" w:pos="0"/>
          </w:tabs>
          <w:ind w:left="3744" w:hanging="1224"/>
        </w:pPr>
        <w:rPr/>
      </w:lvl>
    </w:lvlOverride>
    <w:lvlOverride w:ilvl="7">
      <w:startOverride w:val="1"/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num" w:pos="0"/>
          </w:tabs>
          <w:ind w:left="4320" w:hanging="1440"/>
        </w:pPr>
        <w:rPr/>
      </w:lvl>
    </w:lvlOverride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Droid Sans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ahoma" w:cs="Droid Sans Devanagari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qFormat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qFormat/>
    <w:pPr>
      <w:numPr>
        <w:ilvl w:val="0"/>
        <w:numId w:val="0"/>
      </w:numPr>
      <w:outlineLvl w:val="1"/>
    </w:pPr>
    <w:rPr/>
  </w:style>
  <w:style w:type="paragraph" w:styleId="Heading3">
    <w:name w:val="Heading 3"/>
    <w:basedOn w:val="Normal"/>
    <w:qFormat/>
    <w:pPr>
      <w:keepNext w:val="true"/>
      <w:numPr>
        <w:ilvl w:val="2"/>
        <w:numId w:val="1"/>
      </w:numPr>
      <w:spacing w:before="120" w:after="60"/>
      <w:jc w:val="both"/>
      <w:outlineLvl w:val="2"/>
    </w:pPr>
    <w:rPr>
      <w:rFonts w:eastAsia="Calibri"/>
      <w:sz w:val="24"/>
      <w:szCs w:val="24"/>
    </w:rPr>
  </w:style>
  <w:style w:type="paragraph" w:styleId="Heading4">
    <w:name w:val="Heading 4"/>
    <w:basedOn w:val="Heading3"/>
    <w:qFormat/>
    <w:pPr>
      <w:numPr>
        <w:ilvl w:val="1"/>
      </w:numPr>
      <w:outlineLvl w:val="3"/>
    </w:pPr>
    <w:rPr>
      <w:bCs/>
    </w:rPr>
  </w:style>
  <w:style w:type="paragraph" w:styleId="Heading5">
    <w:name w:val="Heading 5"/>
    <w:basedOn w:val="Normal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 w:customStyle="1">
    <w:name w:val="Hyperlink"/>
    <w:uiPriority w:val="99"/>
    <w:rPr>
      <w:color w:val="0000FF"/>
      <w:u w:val="single"/>
    </w:rPr>
  </w:style>
  <w:style w:type="character" w:styleId="Style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FootnoteReference" w:customStyle="1">
    <w:name w:val="Footnote Reference"/>
    <w:rPr>
      <w:vertAlign w:val="superscript"/>
    </w:rPr>
  </w:style>
  <w:style w:type="character" w:styleId="Style1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 w:customStyle="1">
    <w:name w:val="Endnote Reference"/>
    <w:rPr>
      <w:vertAlign w:val="superscript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CaptionChar" w:customStyle="1">
    <w:name w:val="Caption Char"/>
    <w:uiPriority w:val="99"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2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Style3" w:customStyle="1">
    <w:name w:val="Нижний колонтитул Знак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Strong">
    <w:name w:val="Strong"/>
    <w:uiPriority w:val="22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sz w:val="28"/>
      <w:szCs w:val="28"/>
    </w:rPr>
  </w:style>
  <w:style w:type="character" w:styleId="2" w:customStyle="1">
    <w:name w:val="Заголовок 2 Знак"/>
    <w:qFormat/>
    <w:rPr>
      <w:rFonts w:eastAsia="Calibri"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sz w:val="24"/>
      <w:szCs w:val="24"/>
    </w:rPr>
  </w:style>
  <w:style w:type="character" w:styleId="4" w:customStyle="1">
    <w:name w:val="Заголовок 4 Знак"/>
    <w:qFormat/>
    <w:rPr>
      <w:rFonts w:eastAsia="Calibri"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4" w:customStyle="1">
    <w:name w:val="Название Знак"/>
    <w:uiPriority w:val="10"/>
    <w:qFormat/>
    <w:rPr>
      <w:sz w:val="28"/>
    </w:rPr>
  </w:style>
  <w:style w:type="character" w:styleId="Style5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Style6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7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qFormat/>
    <w:rPr>
      <w:sz w:val="28"/>
    </w:rPr>
  </w:style>
  <w:style w:type="character" w:styleId="Style8" w:customStyle="1">
    <w:name w:val="Текст сноски Знак"/>
    <w:qFormat/>
    <w:rPr/>
  </w:style>
  <w:style w:type="character" w:styleId="Style9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10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Style11" w:customStyle="1">
    <w:name w:val="комментарий"/>
    <w:qFormat/>
    <w:rPr>
      <w:b/>
      <w:i/>
      <w:shd w:fill="FFFF99" w:val="clear"/>
    </w:rPr>
  </w:style>
  <w:style w:type="character" w:styleId="Style12" w:customStyle="1">
    <w:name w:val="Подподпункт Знак"/>
    <w:qFormat/>
    <w:rPr>
      <w:sz w:val="26"/>
      <w:szCs w:val="26"/>
    </w:rPr>
  </w:style>
  <w:style w:type="character" w:styleId="31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Style13" w:customStyle="1">
    <w:name w:val="Верхний колонтитул Знак"/>
    <w:uiPriority w:val="99"/>
    <w:qFormat/>
    <w:rPr>
      <w:sz w:val="24"/>
      <w:szCs w:val="24"/>
    </w:rPr>
  </w:style>
  <w:style w:type="character" w:styleId="Style14" w:customStyle="1">
    <w:name w:val="Текст примечания Знак"/>
    <w:semiHidden/>
    <w:qFormat/>
    <w:rPr/>
  </w:style>
  <w:style w:type="character" w:styleId="Style15" w:customStyle="1">
    <w:name w:val="Текст концевой сноски Знак"/>
    <w:basedOn w:val="DefaultParagraphFont"/>
    <w:qFormat/>
    <w:rPr/>
  </w:style>
  <w:style w:type="character" w:styleId="EndnoteCharacters" w:customStyle="1">
    <w:name w:val="Endnote Characters"/>
    <w:basedOn w:val="DefaultParagraphFont"/>
    <w:qFormat/>
    <w:rPr>
      <w:vertAlign w:val="superscript"/>
    </w:rPr>
  </w:style>
  <w:style w:type="character" w:styleId="22" w:customStyle="1">
    <w:name w:val="Пункт2 Знак"/>
    <w:qFormat/>
    <w:rPr>
      <w:b/>
      <w:sz w:val="28"/>
    </w:rPr>
  </w:style>
  <w:style w:type="character" w:styleId="12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FontStyle17" w:customStyle="1">
    <w:name w:val="Font Style17"/>
    <w:qFormat/>
    <w:rPr>
      <w:rFonts w:ascii="Times New Roman" w:hAnsi="Times New Roman"/>
      <w:sz w:val="20"/>
      <w:szCs w:val="20"/>
    </w:rPr>
  </w:style>
  <w:style w:type="character" w:styleId="Style16" w:customStyle="1">
    <w:name w:val="Ссылка указателя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link w:val="CaptionChar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Indexheading1">
    <w:name w:val="index heading1"/>
    <w:basedOn w:val="Title"/>
    <w:qFormat/>
    <w:pPr/>
    <w:rPr/>
  </w:style>
  <w:style w:type="paragraph" w:styleId="Tableoffigures">
    <w:name w:val="table of figures"/>
    <w:basedOn w:val="Normal"/>
    <w:uiPriority w:val="99"/>
    <w:unhideWhenUsed/>
    <w:qFormat/>
    <w:pPr/>
    <w:rPr/>
  </w:style>
  <w:style w:type="paragraph" w:styleId="Style19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20" w:customStyle="1">
    <w:name w:val="Раздел положения"/>
    <w:basedOn w:val="Normal"/>
    <w:qFormat/>
    <w:pPr>
      <w:numPr>
        <w:ilvl w:val="0"/>
        <w:numId w:val="2"/>
      </w:numPr>
      <w:spacing w:before="80" w:after="8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qFormat/>
    <w:pPr>
      <w:tabs>
        <w:tab w:val="clear" w:pos="709"/>
        <w:tab w:val="left" w:pos="360" w:leader="none"/>
      </w:tabs>
      <w:spacing w:before="80" w:after="80"/>
      <w:ind w:left="360" w:hanging="360"/>
      <w:jc w:val="both"/>
    </w:pPr>
    <w:rPr/>
  </w:style>
  <w:style w:type="paragraph" w:styleId="FootnoteText">
    <w:name w:val="Footnote Text"/>
    <w:basedOn w:val="Normal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uiPriority w:val="10"/>
    <w:qFormat/>
    <w:pPr>
      <w:jc w:val="center"/>
    </w:pPr>
    <w:rPr>
      <w:szCs w:val="20"/>
    </w:rPr>
  </w:style>
  <w:style w:type="paragraph" w:styleId="Style22" w:customStyle="1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3" w:customStyle="1">
    <w:name w:val="Подпункт"/>
    <w:basedOn w:val="Normal"/>
    <w:qFormat/>
    <w:pPr>
      <w:tabs>
        <w:tab w:val="clear" w:pos="709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qFormat/>
    <w:pPr>
      <w:keepNext w:val="true"/>
      <w:tabs>
        <w:tab w:val="clear" w:pos="709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uiPriority w:val="39"/>
    <w:pPr>
      <w:tabs>
        <w:tab w:val="clear" w:pos="709"/>
        <w:tab w:val="left" w:pos="1120" w:leader="none"/>
        <w:tab w:val="right" w:pos="9911" w:leader="dot"/>
      </w:tabs>
      <w:ind w:left="567" w:hanging="0"/>
    </w:pPr>
    <w:rPr>
      <w:rFonts w:cs="Calibri" w:cstheme="minorHAnsi"/>
      <w:sz w:val="20"/>
      <w:szCs w:val="20"/>
    </w:rPr>
  </w:style>
  <w:style w:type="paragraph" w:styleId="Style24" w:customStyle="1">
    <w:name w:val="Раздел регламента"/>
    <w:basedOn w:val="Normal"/>
    <w:qFormat/>
    <w:pPr/>
    <w:rPr/>
  </w:style>
  <w:style w:type="paragraph" w:styleId="Style25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uiPriority w:val="39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6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uiPriority w:val="39"/>
    <w:qFormat/>
    <w:pPr>
      <w:keepLines/>
      <w:numPr>
        <w:ilvl w:val="0"/>
        <w:numId w:val="0"/>
      </w:numPr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uiPriority w:val="99"/>
    <w:unhideWhenUsed/>
    <w:qFormat/>
    <w:pPr/>
    <w:rPr>
      <w:rFonts w:eastAsia="Calibri"/>
      <w:sz w:val="24"/>
      <w:szCs w:val="24"/>
    </w:rPr>
  </w:style>
  <w:style w:type="paragraph" w:styleId="Style27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pPr>
      <w:numPr>
        <w:ilvl w:val="0"/>
        <w:numId w:val="3"/>
      </w:num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pPr>
      <w:tabs>
        <w:tab w:val="clear" w:pos="709"/>
        <w:tab w:val="left" w:pos="0" w:leader="none"/>
      </w:tabs>
      <w:spacing w:before="120" w:after="0"/>
      <w:ind w:left="-207" w:hanging="36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tabs>
        <w:tab w:val="clear" w:pos="709"/>
        <w:tab w:val="left" w:pos="0" w:leader="none"/>
      </w:tabs>
      <w:spacing w:before="120" w:after="0"/>
      <w:ind w:left="-207" w:hanging="36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eastAsia="Calibri" w:ascii="Times New Roman" w:hAnsi="Times New Roman" w:cs="Droid Sans Devanagari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ahoma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 w:customStyle="1">
    <w:name w:val="Пункт"/>
    <w:basedOn w:val="Normal"/>
    <w:qFormat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9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30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1" w:customStyle="1">
    <w:name w:val="Подподпункт"/>
    <w:basedOn w:val="Style23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</w:rPr>
  </w:style>
  <w:style w:type="paragraph" w:styleId="Style32" w:customStyle="1">
    <w:name w:val="УРОВЕНЬ_(а)"/>
    <w:basedOn w:val="ListParagraph"/>
    <w:qFormat/>
    <w:p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0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qFormat/>
    <w:pPr>
      <w:tabs>
        <w:tab w:val="clear" w:pos="709"/>
        <w:tab w:val="left" w:pos="0" w:leader="none"/>
      </w:tabs>
      <w:spacing w:lineRule="exact" w:line="360" w:before="120" w:after="0"/>
      <w:ind w:left="1134" w:hanging="1134"/>
      <w:contextualSpacing w:val="false"/>
      <w:jc w:val="both"/>
    </w:pPr>
    <w:rPr>
      <w:sz w:val="26"/>
      <w:szCs w:val="28"/>
      <w:lang w:eastAsia="en-US"/>
    </w:rPr>
  </w:style>
  <w:style w:type="paragraph" w:styleId="Style33" w:customStyle="1">
    <w:name w:val="УРОВЕНЬ_Подпись"/>
    <w:basedOn w:val="ListParagraph"/>
    <w:qFormat/>
    <w:pPr>
      <w:keepNext w:val="true"/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9"/>
        <w:tab w:val="left" w:pos="567" w:leader="none"/>
      </w:tabs>
      <w:spacing w:before="480" w:after="240"/>
      <w:ind w:left="567" w:hanging="567"/>
      <w:outlineLvl w:val="9"/>
    </w:pPr>
    <w:rPr>
      <w:rFonts w:ascii="Arial" w:hAnsi="Arial" w:eastAsia="Times New Roman"/>
      <w:bCs/>
      <w:sz w:val="40"/>
      <w:szCs w:val="20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spacing w:before="120" w:after="120"/>
      <w:jc w:val="both"/>
      <w:outlineLvl w:val="0"/>
    </w:pPr>
    <w:rPr>
      <w:b/>
      <w:sz w:val="24"/>
      <w:szCs w:val="20"/>
    </w:rPr>
  </w:style>
  <w:style w:type="paragraph" w:styleId="Style34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Xl76" w:customStyle="1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4"/>
      <w:szCs w:val="24"/>
    </w:rPr>
  </w:style>
  <w:style w:type="paragraph" w:styleId="Style35" w:customStyle="1">
    <w:name w:val="[РГ] Подраздел"/>
    <w:basedOn w:val="ListParagraph"/>
    <w:qFormat/>
    <w:pPr>
      <w:keepNext w:val="true"/>
      <w:spacing w:before="240" w:after="0"/>
      <w:ind w:left="993" w:hanging="993"/>
      <w:contextualSpacing w:val="false"/>
      <w:jc w:val="both"/>
      <w:outlineLvl w:val="2"/>
    </w:pPr>
    <w:rPr>
      <w:rFonts w:ascii="Calibri Light" w:hAnsi="Calibri Light" w:eastAsia="Times New Roman" w:cs="Calibri Light" w:asciiTheme="majorHAnsi" w:hAnsiTheme="majorHAnsi"/>
      <w:b/>
      <w:bCs/>
      <w:iCs/>
      <w:color w:val="000000"/>
      <w:sz w:val="26"/>
      <w:szCs w:val="26"/>
      <w:lang w:eastAsia="en-US"/>
    </w:rPr>
  </w:style>
  <w:style w:type="paragraph" w:styleId="Style36" w:customStyle="1">
    <w:name w:val="[РГ] Пункт"/>
    <w:basedOn w:val="ListParagraph"/>
    <w:qFormat/>
    <w:pPr>
      <w:spacing w:before="120" w:after="240"/>
      <w:ind w:left="992" w:hanging="992"/>
      <w:contextualSpacing w:val="false"/>
      <w:jc w:val="both"/>
      <w:outlineLvl w:val="3"/>
    </w:pPr>
    <w:rPr>
      <w:rFonts w:ascii="Calibri Light" w:hAnsi="Calibri Light" w:eastAsia="Times New Roman" w:cs="Calibri Light" w:asciiTheme="majorHAnsi" w:hAnsiTheme="majorHAnsi"/>
      <w:color w:val="000000"/>
      <w:sz w:val="26"/>
      <w:szCs w:val="26"/>
      <w:lang w:eastAsia="en-US"/>
    </w:rPr>
  </w:style>
  <w:style w:type="paragraph" w:styleId="Style37" w:customStyle="1">
    <w:name w:val="[РГ] Подпункт"/>
    <w:basedOn w:val="ListParagraph"/>
    <w:qFormat/>
    <w:pPr>
      <w:spacing w:before="120" w:after="240"/>
      <w:contextualSpacing w:val="false"/>
      <w:jc w:val="both"/>
      <w:outlineLvl w:val="4"/>
    </w:pPr>
    <w:rPr>
      <w:rFonts w:ascii="Calibri Light" w:hAnsi="Calibri Light" w:eastAsia="Times New Roman" w:cs="Calibri Light" w:asciiTheme="majorHAnsi" w:hAnsiTheme="majorHAnsi"/>
      <w:bCs/>
      <w:iCs/>
      <w:color w:val="000000"/>
      <w:sz w:val="26"/>
      <w:szCs w:val="26"/>
      <w:lang w:eastAsia="en-US"/>
    </w:rPr>
  </w:style>
  <w:style w:type="paragraph" w:styleId="29" w:customStyle="1">
    <w:name w:val="Абзац списка2"/>
    <w:uiPriority w:val="34"/>
    <w:qFormat/>
    <w:pPr>
      <w:widowControl/>
      <w:bidi w:val="0"/>
      <w:spacing w:lineRule="auto" w:line="259" w:before="0" w:after="160"/>
      <w:ind w:left="720" w:hanging="0"/>
      <w:contextualSpacing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paragraph" w:styleId="Style38" w:customStyle="1">
    <w:name w:val="Содержимое врезки"/>
    <w:basedOn w:val="Normal"/>
    <w:qFormat/>
    <w:pPr/>
    <w:rPr/>
  </w:style>
  <w:style w:type="paragraph" w:styleId="42Table-NormalRSHBTable-Normal3" w:customStyle="1">
    <w:name w:val="Абзац списка;Алроса_маркер (Уровень 4);Маркер;ПАРАГРАФ;Абзац списка2;Table-Normal;RSHB_Table-Normal;Заголовок_3;Подпись рисунка"/>
    <w:qFormat/>
    <w:pPr>
      <w:keepNext w:val="false"/>
      <w:keepLines w:val="false"/>
      <w:pageBreakBefore w:val="false"/>
      <w:widowControl/>
      <w:pBdr/>
      <w:shd w:val="nil"/>
      <w:bidi w:val="0"/>
      <w:spacing w:lineRule="auto" w:line="240" w:beforeAutospacing="0" w:before="0" w:afterAutospacing="0" w:after="80"/>
      <w:ind w:left="720" w:right="0" w:hanging="0"/>
      <w:contextualSpacing/>
      <w:jc w:val="left"/>
    </w:pPr>
    <w:rPr>
      <w:rFonts w:ascii="Times New Roman" w:hAnsi="Times New Roman" w:eastAsia="Tahoma" w:cs="Droid Sans Devanagari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 w:val="24"/>
      <w:szCs w:val="24"/>
      <w:u w:val="none"/>
      <w:vertAlign w:val="baseline"/>
      <w:lang w:val="ru-RU" w:eastAsia="ru-RU" w:bidi="ar-SA"/>
      <w14:ligatures w14:val="none"/>
    </w:rPr>
  </w:style>
  <w:style w:type="paragraph" w:styleId="Style39" w:customStyle="1">
    <w:name w:val="[РГ] Текст"/>
    <w:qFormat/>
    <w:pPr>
      <w:keepNext w:val="false"/>
      <w:keepLines w:val="false"/>
      <w:pageBreakBefore w:val="false"/>
      <w:widowControl/>
      <w:pBdr/>
      <w:shd w:val="nil"/>
      <w:bidi w:val="0"/>
      <w:spacing w:lineRule="auto" w:line="240" w:beforeAutospacing="0" w:before="120" w:afterAutospacing="0" w:after="0"/>
      <w:ind w:left="0" w:right="0" w:hanging="0"/>
      <w:jc w:val="both"/>
    </w:pPr>
    <w:rPr>
      <w:rFonts w:ascii="Times New Roman" w:hAnsi="Times New Roman" w:eastAsia="Times New Roman" w:cs="Times New Roman (???????? ?????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0"/>
      <w:position w:val="0"/>
      <w:sz w:val="26"/>
      <w:sz w:val="26"/>
      <w:szCs w:val="24"/>
      <w:u w:val="none"/>
      <w:vertAlign w:val="baseline"/>
      <w:lang w:val="ru-RU" w:eastAsia="en-US" w:bidi="ar-SA"/>
      <w14:ligatures w14:val="none"/>
    </w:rPr>
  </w:style>
  <w:style w:type="paragraph" w:styleId="Style40">
    <w:name w:val="Содержимое таблицы"/>
    <w:basedOn w:val="Normal"/>
    <w:qFormat/>
    <w:pPr>
      <w:widowControl w:val="false"/>
      <w:suppressLineNumbers/>
    </w:pPr>
    <w:rPr/>
  </w:style>
  <w:style w:type="paragraph" w:styleId="Style41">
    <w:name w:val="Заголовок таблицы"/>
    <w:basedOn w:val="Style4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</w:style>
  <w:style w:type="numbering" w:styleId="210" w:customStyle="1">
    <w:name w:val="Стиль2"/>
    <w:uiPriority w:val="99"/>
    <w:qFormat/>
  </w:style>
  <w:style w:type="table" w:default="1" w:styleId="865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67">
    <w:name w:val="Table Grid"/>
    <w:basedOn w:val="86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68">
    <w:name w:val="Table Grid Light"/>
    <w:basedOn w:val="86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9">
    <w:name w:val="Plain Table 1"/>
    <w:basedOn w:val="86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870">
    <w:name w:val="Plain Table 2"/>
    <w:basedOn w:val="86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871">
    <w:name w:val="Plain Table 3"/>
    <w:basedOn w:val="86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872">
    <w:name w:val="Plain Table 4"/>
    <w:basedOn w:val="86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73">
    <w:name w:val="Plain Table 5"/>
    <w:basedOn w:val="865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74">
    <w:name w:val="Grid Table 1 Light"/>
    <w:basedOn w:val="86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5">
    <w:name w:val="Grid Table 1 Light - Accent 1"/>
    <w:basedOn w:val="86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1ACDC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6">
    <w:name w:val="Grid Table 1 Light - Accent 2"/>
    <w:basedOn w:val="86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7">
    <w:name w:val="Grid Table 1 Light - Accent 3"/>
    <w:basedOn w:val="86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8">
    <w:name w:val="Grid Table 1 Light - Accent 4"/>
    <w:basedOn w:val="86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9">
    <w:name w:val="Grid Table 1 Light - Accent 5"/>
    <w:basedOn w:val="86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EC4E6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80">
    <w:name w:val="Grid Table 1 Light - Accent 6"/>
    <w:basedOn w:val="86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81">
    <w:name w:val="Grid Table 2"/>
    <w:basedOn w:val="86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82">
    <w:name w:val="Grid Table 2 - Accent 1"/>
    <w:basedOn w:val="86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83">
    <w:name w:val="Grid Table 2 - Accent 2"/>
    <w:basedOn w:val="86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84">
    <w:name w:val="Grid Table 2 - Accent 3"/>
    <w:basedOn w:val="86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85">
    <w:name w:val="Grid Table 2 - Accent 4"/>
    <w:basedOn w:val="86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86">
    <w:name w:val="Grid Table 2 - Accent 5"/>
    <w:basedOn w:val="86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87">
    <w:name w:val="Grid Table 2 - Accent 6"/>
    <w:basedOn w:val="86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88">
    <w:name w:val="Grid Table 3"/>
    <w:basedOn w:val="86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89">
    <w:name w:val="Grid Table 3 - Accent 1"/>
    <w:basedOn w:val="865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90">
    <w:name w:val="Grid Table 3 - Accent 2"/>
    <w:basedOn w:val="865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91">
    <w:name w:val="Grid Table 3 - Accent 3"/>
    <w:basedOn w:val="865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92">
    <w:name w:val="Grid Table 3 - Accent 4"/>
    <w:basedOn w:val="865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93">
    <w:name w:val="Grid Table 3 - Accent 5"/>
    <w:basedOn w:val="865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94">
    <w:name w:val="Grid Table 3 - Accent 6"/>
    <w:basedOn w:val="865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95">
    <w:name w:val="Grid Table 4"/>
    <w:basedOn w:val="86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896">
    <w:name w:val="Grid Table 4 - Accent 1"/>
    <w:basedOn w:val="865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  <w:shd w:val="clear" w:color="537DC8" w:fill="537DC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37DC8" w:themeColor="accent1" w:sz="4" w:space="0"/>
        </w:tcBorders>
      </w:tcPr>
    </w:tblStylePr>
  </w:style>
  <w:style w:type="table" w:customStyle="1" w:styleId="897">
    <w:name w:val="Grid Table 4 - Accent 2"/>
    <w:basedOn w:val="865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898">
    <w:name w:val="Grid Table 4 - Accent 3"/>
    <w:basedOn w:val="865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</w:tcBorders>
      </w:tcPr>
    </w:tblStylePr>
  </w:style>
  <w:style w:type="table" w:customStyle="1" w:styleId="899">
    <w:name w:val="Grid Table 4 - Accent 4"/>
    <w:basedOn w:val="865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900">
    <w:name w:val="Grid Table 4 - Accent 5"/>
    <w:basedOn w:val="865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5B9BD5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</w:tcBorders>
      </w:tcPr>
    </w:tblStylePr>
  </w:style>
  <w:style w:type="table" w:customStyle="1" w:styleId="901">
    <w:name w:val="Grid Table 4 - Accent 6"/>
    <w:basedOn w:val="865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</w:style>
  <w:style w:type="table" w:styleId="902">
    <w:name w:val="Grid Table 5 Dark"/>
    <w:basedOn w:val="8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customStyle="1" w:styleId="903">
    <w:name w:val="Grid Table 5 Dark- Accent 1"/>
    <w:basedOn w:val="8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A9BEE4" w:fill="A9BEE4" w:themeFill="accent1" w:themeFillTint="75"/>
      </w:tcPr>
    </w:tblStylePr>
    <w:tblStylePr w:type="band1Vert">
      <w:tblPr/>
      <w:tcPr>
        <w:shd w:val="clear" w:color="A9BEE4" w:fill="A9BEE4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1"/>
      </w:tcPr>
    </w:tblStylePr>
  </w:style>
  <w:style w:type="table" w:customStyle="1" w:styleId="904">
    <w:name w:val="Grid Table 5 Dark - Accent 2"/>
    <w:basedOn w:val="8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6C3A0" w:fill="F6C3A0" w:themeFill="accent2" w:themeFillTint="75"/>
      </w:tcPr>
    </w:tblStylePr>
    <w:tblStylePr w:type="band1Vert">
      <w:tblPr/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</w:style>
  <w:style w:type="table" w:customStyle="1" w:styleId="905">
    <w:name w:val="Grid Table 5 Dark - Accent 3"/>
    <w:basedOn w:val="8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D5D5D5" w:fill="D5D5D5" w:themeFill="accent3" w:themeFillTint="75"/>
      </w:tcPr>
    </w:tblStylePr>
    <w:tblStylePr w:type="band1Vert">
      <w:tblPr/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</w:style>
  <w:style w:type="table" w:customStyle="1" w:styleId="906">
    <w:name w:val="Grid Table 5 Dark- Accent 4"/>
    <w:basedOn w:val="8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FE28A" w:fill="FFE28A" w:themeFill="accent4" w:themeFillTint="75"/>
      </w:tcPr>
    </w:tblStylePr>
    <w:tblStylePr w:type="band1Vert">
      <w:tblPr/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</w:style>
  <w:style w:type="table" w:customStyle="1" w:styleId="907">
    <w:name w:val="Grid Table 5 Dark - Accent 5"/>
    <w:basedOn w:val="8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B3D0EB" w:fill="B3D0EB" w:themeFill="accent5" w:themeFillTint="7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5"/>
      </w:tcPr>
    </w:tblStylePr>
  </w:style>
  <w:style w:type="table" w:customStyle="1" w:styleId="908">
    <w:name w:val="Grid Table 5 Dark - Accent 6"/>
    <w:basedOn w:val="8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BCDBA8" w:fill="BCDBA8" w:themeFill="accent6" w:themeFillTint="75"/>
      </w:tcPr>
    </w:tblStylePr>
    <w:tblStylePr w:type="band1Vert">
      <w:tblPr/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</w:style>
  <w:style w:type="table" w:styleId="909">
    <w:name w:val="Grid Table 6 Colorful"/>
    <w:basedOn w:val="86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</w:style>
  <w:style w:type="table" w:customStyle="1" w:styleId="910">
    <w:name w:val="Grid Table 6 Colorful - Accent 1"/>
    <w:basedOn w:val="865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  <w:tblStylePr w:type="firstCol">
      <w:rPr>
        <w:b/>
        <w:color w:val="A0B7E1" w:themeColor="accent1" w:themeTint="80" w:themeShade="95"/>
      </w:rPr>
      <w:tblPr/>
    </w:tblStylePr>
    <w:tblStylePr w:type="firstRow">
      <w:rPr>
        <w:b/>
        <w:color w:val="A0B7E1" w:themeColor="accent1" w:themeTint="80" w:themeShade="95"/>
      </w:rPr>
      <w:tblPr/>
      <w:tcPr>
        <w:tcBorders>
          <w:bottom w:val="single" w:color="A0B7E1" w:themeColor="accent1" w:sz="12" w:space="0"/>
        </w:tcBorders>
      </w:tcPr>
    </w:tblStylePr>
    <w:tblStylePr w:type="lastCol">
      <w:rPr>
        <w:b/>
        <w:color w:val="A0B7E1" w:themeColor="accent1" w:themeTint="80" w:themeShade="95"/>
      </w:rPr>
      <w:tblPr/>
    </w:tblStylePr>
    <w:tblStylePr w:type="lastRow">
      <w:rPr>
        <w:b/>
        <w:color w:val="A0B7E1" w:themeColor="accent1" w:themeTint="80" w:themeShade="95"/>
      </w:rPr>
      <w:tblPr/>
    </w:tblStylePr>
  </w:style>
  <w:style w:type="table" w:customStyle="1" w:styleId="911">
    <w:name w:val="Grid Table 6 Colorful - Accent 2"/>
    <w:basedOn w:val="86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</w:tblStylePr>
  </w:style>
  <w:style w:type="table" w:customStyle="1" w:styleId="912">
    <w:name w:val="Grid Table 6 Colorful - Accent 3"/>
    <w:basedOn w:val="865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firstCol">
      <w:rPr>
        <w:b/>
        <w:color w:val="A5A5A5" w:themeColor="accent3" w:themeTint="fe" w:themeShade="95"/>
      </w:rPr>
      <w:tblPr/>
    </w:tblStylePr>
    <w:tblStylePr w:type="firstRow">
      <w:rPr>
        <w:b/>
        <w:color w:val="A5A5A5"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  <w:tblPr/>
    </w:tblStylePr>
    <w:tblStylePr w:type="lastRow">
      <w:rPr>
        <w:b/>
        <w:color w:val="A5A5A5" w:themeColor="accent3" w:themeTint="fe" w:themeShade="95"/>
      </w:rPr>
      <w:tblPr/>
    </w:tblStylePr>
  </w:style>
  <w:style w:type="table" w:customStyle="1" w:styleId="913">
    <w:name w:val="Grid Table 6 Colorful - Accent 4"/>
    <w:basedOn w:val="86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</w:tblStylePr>
  </w:style>
  <w:style w:type="table" w:customStyle="1" w:styleId="914">
    <w:name w:val="Grid Table 6 Colorful - Accent 5"/>
    <w:basedOn w:val="865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  <w:tblStylePr w:type="firstCol">
      <w:rPr>
        <w:b/>
        <w:color w:val="245A8D" w:themeColor="accent5" w:themeShade="95"/>
      </w:rPr>
      <w:tblPr/>
    </w:tblStylePr>
    <w:tblStylePr w:type="firstRow">
      <w:rPr>
        <w:b/>
        <w:color w:val="245A8D" w:themeColor="accent5" w:themeShade="95"/>
      </w:rPr>
      <w:tblPr/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tblPr/>
    </w:tblStylePr>
    <w:tblStylePr w:type="lastRow">
      <w:rPr>
        <w:b/>
        <w:color w:val="245A8D" w:themeColor="accent5" w:themeShade="95"/>
      </w:rPr>
      <w:tblPr/>
    </w:tblStylePr>
  </w:style>
  <w:style w:type="table" w:customStyle="1" w:styleId="915">
    <w:name w:val="Grid Table 6 Colorful - Accent 6"/>
    <w:basedOn w:val="865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  <w:tblPr/>
    </w:tblStylePr>
    <w:tblStylePr w:type="firstCol">
      <w:rPr>
        <w:b/>
        <w:color w:val="245A8D" w:themeColor="accent5" w:themeShade="95"/>
      </w:rPr>
      <w:tblPr/>
    </w:tblStylePr>
    <w:tblStylePr w:type="firstRow">
      <w:rPr>
        <w:b/>
        <w:color w:val="245A8D"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tblPr/>
    </w:tblStylePr>
    <w:tblStylePr w:type="lastRow">
      <w:rPr>
        <w:b/>
        <w:color w:val="245A8D" w:themeColor="accent5" w:themeShade="95"/>
      </w:rPr>
      <w:tblPr/>
    </w:tblStylePr>
  </w:style>
  <w:style w:type="table" w:styleId="916">
    <w:name w:val="Grid Table 7 Colorful"/>
    <w:basedOn w:val="86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17">
    <w:name w:val="Grid Table 7 Colorful - Accent 1"/>
    <w:basedOn w:val="865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sz="4" w:space="0"/>
        </w:tcBorders>
        <w:shd w:val="clear" w:color="FFFFFF" w:fill="auto"/>
      </w:tcPr>
    </w:tblStyle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0B7E1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color="000000" w:sz="0" w:space="0"/>
          <w:left w:val="single" w:color="A0B7E1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color="A0B7E1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18">
    <w:name w:val="Grid Table 7 Colorful - Accent 2"/>
    <w:basedOn w:val="865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19">
    <w:name w:val="Grid Table 7 Colorful - Accent 3"/>
    <w:basedOn w:val="865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  <w:shd w:val="clear" w:color="FFFFFF" w:fill="auto"/>
      </w:tcPr>
    </w:tblStyle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20">
    <w:name w:val="Grid Table 7 Colorful - Accent 4"/>
    <w:basedOn w:val="865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21">
    <w:name w:val="Grid Table 7 Colorful - Accent 5"/>
    <w:basedOn w:val="865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  <w:tblPr/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sz="4" w:space="0"/>
        </w:tcBorders>
        <w:shd w:val="clear" w:color="FFFFFF" w:fill="auto"/>
      </w:tcPr>
    </w:tblStylePr>
    <w:tblStylePr w:type="firstRow">
      <w:rPr>
        <w:b/>
        <w:color w:val="245A8D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2C6E7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color="000000" w:sz="0" w:space="0"/>
          <w:left w:val="single" w:color="A2C6E7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color="A2C6E7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22">
    <w:name w:val="Grid Table 7 Colorful - Accent 6"/>
    <w:basedOn w:val="865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  <w:tblPr/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sz="4" w:space="0"/>
        </w:tcBorders>
        <w:shd w:val="clear" w:color="FFFFFF" w:fill="auto"/>
      </w:tcPr>
    </w:tblStylePr>
    <w:tblStylePr w:type="firstRow">
      <w:rPr>
        <w:b/>
        <w:color w:val="416429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DD394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color="000000" w:sz="0" w:space="0"/>
          <w:left w:val="single" w:color="ADD394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color="ADD394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923">
    <w:name w:val="List Table 1 Light"/>
    <w:basedOn w:val="865"/>
    <w:uiPriority w:val="99"/>
    <w:tblPr>
      <w:tblStyleRowBandSize w:val="1"/>
      <w:tblStyleColBandSize w:val="1"/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24">
    <w:name w:val="List Table 1 Light - Accent 1"/>
    <w:basedOn w:val="865"/>
    <w:uiPriority w:val="99"/>
    <w:tblPr>
      <w:tblStyleRowBandSize w:val="1"/>
      <w:tblStyleColBandSize w:val="1"/>
    </w:tblPr>
    <w:tblStylePr w:type="band1Horz"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25">
    <w:name w:val="List Table 1 Light - Accent 2"/>
    <w:basedOn w:val="865"/>
    <w:uiPriority w:val="99"/>
    <w:tblPr>
      <w:tblStyleRowBandSize w:val="1"/>
      <w:tblStyleColBandSize w:val="1"/>
    </w:tblPr>
    <w:tblStylePr w:type="band1Horz"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26">
    <w:name w:val="List Table 1 Light - Accent 3"/>
    <w:basedOn w:val="865"/>
    <w:uiPriority w:val="99"/>
    <w:tblPr>
      <w:tblStyleRowBandSize w:val="1"/>
      <w:tblStyleColBandSize w:val="1"/>
    </w:tblPr>
    <w:tblStylePr w:type="band1Horz"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27">
    <w:name w:val="List Table 1 Light - Accent 4"/>
    <w:basedOn w:val="865"/>
    <w:uiPriority w:val="99"/>
    <w:tblPr>
      <w:tblStyleRowBandSize w:val="1"/>
      <w:tblStyleColBandSize w:val="1"/>
    </w:tblPr>
    <w:tblStylePr w:type="band1Horz"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28">
    <w:name w:val="List Table 1 Light - Accent 5"/>
    <w:basedOn w:val="865"/>
    <w:uiPriority w:val="99"/>
    <w:tblPr>
      <w:tblStyleRowBandSize w:val="1"/>
      <w:tblStyleColBandSize w:val="1"/>
    </w:tblPr>
    <w:tblStylePr w:type="band1Horz"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929">
    <w:name w:val="List Table 1 Light - Accent 6"/>
    <w:basedOn w:val="865"/>
    <w:uiPriority w:val="99"/>
    <w:tblPr>
      <w:tblStyleRowBandSize w:val="1"/>
      <w:tblStyleColBandSize w:val="1"/>
    </w:tblPr>
    <w:tblStylePr w:type="band1Horz"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List Table 2"/>
    <w:basedOn w:val="86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931">
    <w:name w:val="List Table 2 - Accent 1"/>
    <w:basedOn w:val="865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</w:style>
  <w:style w:type="table" w:customStyle="1" w:styleId="932">
    <w:name w:val="List Table 2 - Accent 2"/>
    <w:basedOn w:val="865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customStyle="1" w:styleId="933">
    <w:name w:val="List Table 2 - Accent 3"/>
    <w:basedOn w:val="865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customStyle="1" w:styleId="934">
    <w:name w:val="List Table 2 - Accent 4"/>
    <w:basedOn w:val="865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customStyle="1" w:styleId="935">
    <w:name w:val="List Table 2 - Accent 5"/>
    <w:basedOn w:val="865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</w:style>
  <w:style w:type="table" w:customStyle="1" w:styleId="936">
    <w:name w:val="List Table 2 - Accent 6"/>
    <w:basedOn w:val="865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937">
    <w:name w:val="List Table 3"/>
    <w:basedOn w:val="86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38">
    <w:name w:val="List Table 3 - Accent 1"/>
    <w:basedOn w:val="865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39">
    <w:name w:val="List Table 3 - Accent 2"/>
    <w:basedOn w:val="865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40">
    <w:name w:val="List Table 3 - Accent 3"/>
    <w:basedOn w:val="865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41">
    <w:name w:val="List Table 3 - Accent 4"/>
    <w:basedOn w:val="865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42">
    <w:name w:val="List Table 3 - Accent 5"/>
    <w:basedOn w:val="865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43">
    <w:name w:val="List Table 3 - Accent 6"/>
    <w:basedOn w:val="865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44">
    <w:name w:val="List Table 4"/>
    <w:basedOn w:val="86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45">
    <w:name w:val="List Table 4 - Accent 1"/>
    <w:basedOn w:val="865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46">
    <w:name w:val="List Table 4 - Accent 2"/>
    <w:basedOn w:val="865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47">
    <w:name w:val="List Table 4 - Accent 3"/>
    <w:basedOn w:val="865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48">
    <w:name w:val="List Table 4 - Accent 4"/>
    <w:basedOn w:val="865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49">
    <w:name w:val="List Table 4 - Accent 5"/>
    <w:basedOn w:val="865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950">
    <w:name w:val="List Table 4 - Accent 6"/>
    <w:basedOn w:val="865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51">
    <w:name w:val="List Table 5 Dark"/>
    <w:basedOn w:val="86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52">
    <w:name w:val="List Table 5 Dark - Accent 1"/>
    <w:basedOn w:val="865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472C4" w:fill="4472C4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472C4" w:fill="4472C4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4472C4" w:fill="4472C4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53">
    <w:name w:val="List Table 5 Dark - Accent 2"/>
    <w:basedOn w:val="865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4B184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54">
    <w:name w:val="List Table 5 Dark - Accent 3"/>
    <w:basedOn w:val="865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9C9C9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55">
    <w:name w:val="List Table 5 Dark - Accent 4"/>
    <w:basedOn w:val="865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FD865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56">
    <w:name w:val="List Table 5 Dark - Accent 5"/>
    <w:basedOn w:val="865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9BC2E5" w:themeColor="accent5" w:sz="32" w:space="0"/>
          <w:bottom w:val="single" w:color="FFFFFF" w:themeColor="light1" w:sz="12" w:space="0"/>
        </w:tcBorders>
        <w:shd w:val="clear" w:color="9BC2E5" w:fill="9BC2E5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957">
    <w:name w:val="List Table 5 Dark - Accent 6"/>
    <w:basedOn w:val="865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A9D08E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styleId="958">
    <w:name w:val="List Table 6 Colorful"/>
    <w:basedOn w:val="86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959">
    <w:name w:val="List Table 6 Colorful - Accent 1"/>
    <w:basedOn w:val="865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  <w:tblStylePr w:type="firstCol">
      <w:rPr>
        <w:b/>
        <w:color w:val="254175" w:themeColor="accent1" w:themeShade="95"/>
      </w:rPr>
      <w:tblPr/>
    </w:tblStylePr>
    <w:tblStylePr w:type="firstRow">
      <w:rPr>
        <w:b/>
        <w:color w:val="254175" w:themeColor="accent1" w:themeShade="95"/>
      </w:rPr>
      <w:tblPr/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tblPr/>
    </w:tblStylePr>
    <w:tblStylePr w:type="lastRow">
      <w:rPr>
        <w:b/>
        <w:color w:val="254175" w:themeColor="accent1" w:themeShade="95"/>
      </w:rPr>
      <w:tblPr/>
      <w:tcPr>
        <w:tcBorders>
          <w:top w:val="single" w:color="4472C4" w:themeColor="accent1" w:sz="4" w:space="0"/>
        </w:tcBorders>
      </w:tcPr>
    </w:tblStylePr>
  </w:style>
  <w:style w:type="table" w:customStyle="1" w:styleId="960">
    <w:name w:val="List Table 6 Colorful - Accent 2"/>
    <w:basedOn w:val="865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rPr>
        <w:b/>
        <w:color w:val="F4B184" w:themeColor="accent2" w:themeTint="97" w:themeShade="95"/>
      </w:rPr>
      <w:tblPr/>
    </w:tblStylePr>
    <w:tblStylePr w:type="firstRow">
      <w:rPr>
        <w:b/>
        <w:color w:val="F4B184" w:themeColor="accent2" w:themeTint="97" w:themeShade="95"/>
      </w:rPr>
      <w:tblPr/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  <w:tblPr/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color="F4B184" w:themeColor="accent2" w:sz="4" w:space="0"/>
        </w:tcBorders>
      </w:tcPr>
    </w:tblStylePr>
  </w:style>
  <w:style w:type="table" w:customStyle="1" w:styleId="961">
    <w:name w:val="List Table 6 Colorful - Accent 3"/>
    <w:basedOn w:val="865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firstCol">
      <w:rPr>
        <w:b/>
        <w:color w:val="C9C9C9" w:themeColor="accent3" w:themeTint="98" w:themeShade="95"/>
      </w:rPr>
      <w:tblPr/>
    </w:tblStylePr>
    <w:tblStylePr w:type="firstRow">
      <w:rPr>
        <w:b/>
        <w:color w:val="C9C9C9" w:themeColor="accent3" w:themeTint="98" w:themeShade="95"/>
      </w:rPr>
      <w:tblPr/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  <w:tblPr/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color="C9C9C9" w:themeColor="accent3" w:sz="4" w:space="0"/>
        </w:tcBorders>
      </w:tcPr>
    </w:tblStylePr>
  </w:style>
  <w:style w:type="table" w:customStyle="1" w:styleId="962">
    <w:name w:val="List Table 6 Colorful - Accent 4"/>
    <w:basedOn w:val="865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rPr>
        <w:b/>
        <w:color w:val="FFD865" w:themeColor="accent4" w:themeTint="9a" w:themeShade="95"/>
      </w:rPr>
      <w:tblPr/>
    </w:tblStylePr>
    <w:tblStylePr w:type="firstRow">
      <w:rPr>
        <w:b/>
        <w:color w:val="FFD865" w:themeColor="accent4" w:themeTint="9a" w:themeShade="95"/>
      </w:rPr>
      <w:tblPr/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  <w:tblPr/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color="FFD865" w:themeColor="accent4" w:sz="4" w:space="0"/>
        </w:tcBorders>
      </w:tcPr>
    </w:tblStylePr>
  </w:style>
  <w:style w:type="table" w:customStyle="1" w:styleId="963">
    <w:name w:val="List Table 6 Colorful - Accent 5"/>
    <w:basedOn w:val="865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  <w:tblStylePr w:type="firstCol">
      <w:rPr>
        <w:b/>
        <w:color w:val="9BC2E5" w:themeColor="accent5" w:themeTint="9a" w:themeShade="95"/>
      </w:rPr>
      <w:tblPr/>
    </w:tblStylePr>
    <w:tblStylePr w:type="firstRow">
      <w:rPr>
        <w:b/>
        <w:color w:val="9BC2E5" w:themeColor="accent5" w:themeTint="9a" w:themeShade="95"/>
      </w:rPr>
      <w:tblPr/>
      <w:tcPr>
        <w:tcBorders>
          <w:bottom w:val="single" w:color="9BC2E5" w:themeColor="accent5" w:sz="4" w:space="0"/>
        </w:tcBorders>
      </w:tcPr>
    </w:tblStylePr>
    <w:tblStylePr w:type="lastCol">
      <w:rPr>
        <w:b/>
        <w:color w:val="9BC2E5" w:themeColor="accent5" w:themeTint="9a" w:themeShade="95"/>
      </w:rPr>
      <w:tblPr/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color="9BC2E5" w:themeColor="accent5" w:sz="4" w:space="0"/>
        </w:tcBorders>
      </w:tcPr>
    </w:tblStylePr>
  </w:style>
  <w:style w:type="table" w:customStyle="1" w:styleId="964">
    <w:name w:val="List Table 6 Colorful - Accent 6"/>
    <w:basedOn w:val="865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firstCol">
      <w:rPr>
        <w:b/>
        <w:color w:val="A9D08E" w:themeColor="accent6" w:themeTint="98" w:themeShade="95"/>
      </w:rPr>
      <w:tblPr/>
    </w:tblStylePr>
    <w:tblStylePr w:type="firstRow">
      <w:rPr>
        <w:b/>
        <w:color w:val="A9D08E" w:themeColor="accent6" w:themeTint="98" w:themeShade="95"/>
      </w:rPr>
      <w:tblPr/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  <w:tblPr/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color="A9D08E" w:themeColor="accent6" w:sz="4" w:space="0"/>
        </w:tcBorders>
      </w:tcPr>
    </w:tblStylePr>
  </w:style>
  <w:style w:type="table" w:styleId="965">
    <w:name w:val="List Table 7 Colorful"/>
    <w:basedOn w:val="86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66">
    <w:name w:val="List Table 7 Colorful - Accent 1"/>
    <w:basedOn w:val="865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  <w:tblPr/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  <w:shd w:val="clear" w:color="FFFFFF" w:fill="auto"/>
      </w:tcPr>
    </w:tblStylePr>
    <w:tblStylePr w:type="firstRow"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67">
    <w:name w:val="List Table 7 Colorful - Accent 2"/>
    <w:basedOn w:val="865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  <w:shd w:val="clear" w:color="FFFFFF" w:fill="auto"/>
      </w:tcPr>
    </w:tblStyle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68">
    <w:name w:val="List Table 7 Colorful - Accent 3"/>
    <w:basedOn w:val="865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sz="4" w:space="0"/>
        </w:tcBorders>
        <w:shd w:val="clear" w:color="FFFFFF" w:fill="auto"/>
      </w:tcPr>
    </w:tblStyle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C9C9C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color="000000" w:sz="0" w:space="0"/>
          <w:left w:val="single" w:color="C9C9C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color="C9C9C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69">
    <w:name w:val="List Table 7 Colorful - Accent 4"/>
    <w:basedOn w:val="865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  <w:shd w:val="clear" w:color="FFFFFF" w:fill="auto"/>
      </w:tcPr>
    </w:tblStyle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70">
    <w:name w:val="List Table 7 Colorful - Accent 5"/>
    <w:basedOn w:val="865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sz="4" w:space="0"/>
        </w:tcBorders>
        <w:shd w:val="clear" w:color="FFFFFF" w:fill="auto"/>
      </w:tcPr>
    </w:tblStyle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BC2E5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color="000000" w:sz="0" w:space="0"/>
          <w:left w:val="single" w:color="9BC2E5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color="9BC2E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71">
    <w:name w:val="List Table 7 Colorful - Accent 6"/>
    <w:basedOn w:val="865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sz="4" w:space="0"/>
        </w:tcBorders>
        <w:shd w:val="clear" w:color="FFFFFF" w:fill="auto"/>
      </w:tcPr>
    </w:tblStyle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9D08E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color="000000" w:sz="0" w:space="0"/>
          <w:left w:val="single" w:color="A9D08E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color="A9D08E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72">
    <w:name w:val="Lined - Accent"/>
    <w:basedOn w:val="86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973">
    <w:name w:val="Lined - Accent 1"/>
    <w:basedOn w:val="86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</w:style>
  <w:style w:type="table" w:customStyle="1" w:styleId="974">
    <w:name w:val="Lined - Accent 2"/>
    <w:basedOn w:val="86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975">
    <w:name w:val="Lined - Accent 3"/>
    <w:basedOn w:val="86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976">
    <w:name w:val="Lined - Accent 4"/>
    <w:basedOn w:val="86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977">
    <w:name w:val="Lined - Accent 5"/>
    <w:basedOn w:val="86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</w:style>
  <w:style w:type="table" w:customStyle="1" w:styleId="978">
    <w:name w:val="Lined - Accent 6"/>
    <w:basedOn w:val="86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</w:style>
  <w:style w:type="table" w:customStyle="1" w:styleId="979">
    <w:name w:val="Bordered &amp; Lined - Accent"/>
    <w:basedOn w:val="86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980">
    <w:name w:val="Bordered &amp; Lined - Accent 1"/>
    <w:basedOn w:val="865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</w:style>
  <w:style w:type="table" w:customStyle="1" w:styleId="981">
    <w:name w:val="Bordered &amp; Lined - Accent 2"/>
    <w:basedOn w:val="865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</w:style>
  <w:style w:type="table" w:customStyle="1" w:styleId="982">
    <w:name w:val="Bordered &amp; Lined - Accent 3"/>
    <w:basedOn w:val="865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</w:style>
  <w:style w:type="table" w:customStyle="1" w:styleId="983">
    <w:name w:val="Bordered &amp; Lined - Accent 4"/>
    <w:basedOn w:val="865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</w:style>
  <w:style w:type="table" w:customStyle="1" w:styleId="984">
    <w:name w:val="Bordered &amp; Lined - Accent 5"/>
    <w:basedOn w:val="865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</w:style>
  <w:style w:type="table" w:customStyle="1" w:styleId="985">
    <w:name w:val="Bordered &amp; Lined - Accent 6"/>
    <w:basedOn w:val="865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</w:style>
  <w:style w:type="table" w:customStyle="1" w:styleId="986">
    <w:name w:val="Bordered"/>
    <w:basedOn w:val="86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987">
    <w:name w:val="Bordered - Accent 1"/>
    <w:basedOn w:val="865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4472C4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4472C4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472C4" w:themeColor="accent1" w:sz="12" w:space="0"/>
        </w:tcBorders>
      </w:tcPr>
    </w:tblStylePr>
  </w:style>
  <w:style w:type="table" w:customStyle="1" w:styleId="988">
    <w:name w:val="Bordered - Accent 2"/>
    <w:basedOn w:val="865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4B184" w:themeColor="accent2" w:sz="12" w:space="0"/>
        </w:tcBorders>
      </w:tcPr>
    </w:tblStylePr>
  </w:style>
  <w:style w:type="table" w:customStyle="1" w:styleId="989">
    <w:name w:val="Bordered - Accent 3"/>
    <w:basedOn w:val="865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9C9C9" w:themeColor="accent3" w:sz="12" w:space="0"/>
        </w:tcBorders>
      </w:tcPr>
    </w:tblStylePr>
  </w:style>
  <w:style w:type="table" w:customStyle="1" w:styleId="990">
    <w:name w:val="Bordered - Accent 4"/>
    <w:basedOn w:val="865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FD865" w:themeColor="accent4" w:sz="12" w:space="0"/>
        </w:tcBorders>
      </w:tcPr>
    </w:tblStylePr>
  </w:style>
  <w:style w:type="table" w:customStyle="1" w:styleId="991">
    <w:name w:val="Bordered - Accent 5"/>
    <w:basedOn w:val="865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9BC2E5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9BC2E5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BC2E5" w:themeColor="accent5" w:sz="12" w:space="0"/>
        </w:tcBorders>
      </w:tcPr>
    </w:tblStylePr>
  </w:style>
  <w:style w:type="table" w:customStyle="1" w:styleId="992">
    <w:name w:val="Bordered - Accent 6"/>
    <w:basedOn w:val="865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A9D08E" w:themeColor="accent6" w:sz="12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yperlink" Target="http://www.zakupki.gov.ru/" TargetMode="External"/><Relationship Id="rId6" Type="http://schemas.openxmlformats.org/officeDocument/2006/relationships/hyperlink" Target="mailto:%3D%3Fkoi8-r%3FQ%3F%3DFE%3DD5%3DD7%3DC1%3DDB%3DC5%3DD7_%3F%3D %3D%3Fkoi8-r%3FQ%3F%3DF7%3DC1%3DC4%3DC9%3DCD_%3F%3D %3D%3Fkoi8-r%3FQ%3F%3DE2%3DCF%3DD2%3DC9%3DD3%3DCF%3DD7%3DC9%3DDE%3F%3D &lt;chuvashev-vb@dgk.ru&gt;" TargetMode="External"/><Relationship Id="rId7" Type="http://schemas.openxmlformats.org/officeDocument/2006/relationships/header" Target="header4.xml"/><Relationship Id="rId8" Type="http://schemas.openxmlformats.org/officeDocument/2006/relationships/header" Target="header5.xml"/><Relationship Id="rId9" Type="http://schemas.openxmlformats.org/officeDocument/2006/relationships/header" Target="header6.xml"/><Relationship Id="rId10" Type="http://schemas.openxmlformats.org/officeDocument/2006/relationships/header" Target="header7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6A87A-AE2E-4674-863E-A7570BFC6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AlterOffice/2025.3.0.0$Linux_X86_64 LibreOffice_project/4ba31b6a4271509a884f95065d0a726e9cb2bdbb</Application>
  <AppVersion>15.0000</AppVersion>
  <Pages>17</Pages>
  <Words>3927</Words>
  <Characters>27694</Characters>
  <CharactersWithSpaces>31169</CharactersWithSpaces>
  <Paragraphs>399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2023-12-06T13:50:00Z</dcterms:created>
  <dc:creator>Быстров Олег Геннадьевич</dc:creator>
  <dc:description/>
  <dc:language>ru-RU</dc:language>
  <cp:lastModifiedBy>chuvashev_vb@DGK.RU</cp:lastModifiedBy>
  <dcterms:modified xsi:type="dcterms:W3CDTF">2026-01-30T16:33:50Z</dcterms:modified>
  <cp:revision>81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